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B16B0" w14:textId="2872B1CB" w:rsidR="005A389B" w:rsidRPr="00A5698F" w:rsidRDefault="005C570F" w:rsidP="005C570F">
      <w:pPr>
        <w:pStyle w:val="Akapitzlis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40"/>
          <w:tab w:val="right" w:pos="9072"/>
        </w:tabs>
        <w:spacing w:after="120" w:line="276" w:lineRule="auto"/>
        <w:ind w:left="284"/>
        <w:contextualSpacing w:val="0"/>
        <w:jc w:val="center"/>
        <w:rPr>
          <w:bCs/>
          <w:sz w:val="22"/>
          <w:szCs w:val="22"/>
        </w:rPr>
      </w:pPr>
      <w:r w:rsidRPr="00A5698F">
        <w:rPr>
          <w:bCs/>
          <w:sz w:val="22"/>
          <w:szCs w:val="22"/>
        </w:rPr>
        <w:t>OPIS</w:t>
      </w:r>
      <w:r w:rsidR="00501547" w:rsidRPr="00A5698F">
        <w:rPr>
          <w:bCs/>
          <w:sz w:val="22"/>
          <w:szCs w:val="22"/>
        </w:rPr>
        <w:t>U</w:t>
      </w:r>
      <w:r w:rsidRPr="00A5698F">
        <w:rPr>
          <w:bCs/>
          <w:sz w:val="22"/>
          <w:szCs w:val="22"/>
        </w:rPr>
        <w:t xml:space="preserve"> PRZEDMIOTU ZAMÓWIENIA</w:t>
      </w:r>
    </w:p>
    <w:p w14:paraId="29524A36" w14:textId="1C0D639D" w:rsidR="005A389B" w:rsidRPr="005C570F" w:rsidRDefault="005C570F" w:rsidP="005A389B">
      <w:pPr>
        <w:suppressAutoHyphens/>
        <w:autoSpaceDE w:val="0"/>
        <w:autoSpaceDN w:val="0"/>
        <w:adjustRightInd w:val="0"/>
        <w:spacing w:after="120"/>
        <w:ind w:left="284"/>
        <w:jc w:val="both"/>
        <w:textAlignment w:val="baseline"/>
        <w:rPr>
          <w:color w:val="000000" w:themeColor="text1"/>
          <w:sz w:val="22"/>
          <w:szCs w:val="22"/>
        </w:rPr>
      </w:pPr>
      <w:r w:rsidRPr="00A5698F">
        <w:rPr>
          <w:color w:val="000000" w:themeColor="text1"/>
          <w:sz w:val="22"/>
          <w:szCs w:val="22"/>
        </w:rPr>
        <w:t>Przedmiotem zamówienia są robo</w:t>
      </w:r>
      <w:r w:rsidR="005A389B" w:rsidRPr="00A5698F">
        <w:rPr>
          <w:color w:val="000000" w:themeColor="text1"/>
          <w:sz w:val="22"/>
          <w:szCs w:val="22"/>
        </w:rPr>
        <w:t>t</w:t>
      </w:r>
      <w:r w:rsidRPr="00A5698F">
        <w:rPr>
          <w:color w:val="000000" w:themeColor="text1"/>
          <w:sz w:val="22"/>
          <w:szCs w:val="22"/>
        </w:rPr>
        <w:t>y</w:t>
      </w:r>
      <w:r w:rsidR="005A389B" w:rsidRPr="00A5698F">
        <w:rPr>
          <w:color w:val="000000" w:themeColor="text1"/>
          <w:sz w:val="22"/>
          <w:szCs w:val="22"/>
        </w:rPr>
        <w:t xml:space="preserve"> budowlano </w:t>
      </w:r>
      <w:r w:rsidR="00501547" w:rsidRPr="00A5698F">
        <w:rPr>
          <w:color w:val="000000" w:themeColor="text1"/>
          <w:sz w:val="22"/>
          <w:szCs w:val="22"/>
        </w:rPr>
        <w:t>–</w:t>
      </w:r>
      <w:r w:rsidR="005A389B" w:rsidRPr="00A5698F">
        <w:rPr>
          <w:color w:val="000000" w:themeColor="text1"/>
          <w:sz w:val="22"/>
          <w:szCs w:val="22"/>
        </w:rPr>
        <w:t xml:space="preserve"> technologiczn</w:t>
      </w:r>
      <w:r w:rsidRPr="00A5698F">
        <w:rPr>
          <w:color w:val="000000" w:themeColor="text1"/>
          <w:sz w:val="22"/>
          <w:szCs w:val="22"/>
        </w:rPr>
        <w:t>e</w:t>
      </w:r>
      <w:r w:rsidR="00501547" w:rsidRPr="00A5698F">
        <w:rPr>
          <w:color w:val="000000" w:themeColor="text1"/>
          <w:sz w:val="22"/>
          <w:szCs w:val="22"/>
        </w:rPr>
        <w:t>, m</w:t>
      </w:r>
      <w:r w:rsidR="00A850F1">
        <w:rPr>
          <w:color w:val="000000" w:themeColor="text1"/>
          <w:sz w:val="22"/>
          <w:szCs w:val="22"/>
        </w:rPr>
        <w:t>ontaż urządzeń technologicznych oraz</w:t>
      </w:r>
      <w:r w:rsidR="00501547" w:rsidRPr="00A5698F">
        <w:rPr>
          <w:color w:val="000000" w:themeColor="text1"/>
          <w:sz w:val="22"/>
          <w:szCs w:val="22"/>
        </w:rPr>
        <w:t xml:space="preserve"> </w:t>
      </w:r>
      <w:r w:rsidRPr="00A5698F">
        <w:rPr>
          <w:color w:val="000000" w:themeColor="text1"/>
          <w:sz w:val="22"/>
          <w:szCs w:val="22"/>
        </w:rPr>
        <w:t xml:space="preserve">serwis urządzeń w okresie gwarancji </w:t>
      </w:r>
      <w:r w:rsidR="005A389B" w:rsidRPr="00A5698F">
        <w:rPr>
          <w:color w:val="000000" w:themeColor="text1"/>
          <w:sz w:val="22"/>
          <w:szCs w:val="22"/>
        </w:rPr>
        <w:t>dla zadania pn.: „</w:t>
      </w:r>
      <w:r w:rsidR="00EC363A" w:rsidRPr="00EC363A">
        <w:rPr>
          <w:b/>
          <w:sz w:val="22"/>
          <w:szCs w:val="22"/>
        </w:rPr>
        <w:t>Budowa kogeneracyjnego agregatu prądotwórczego zasilanego biogazem z możliwością przełączenia zasilenia na gaz sieciowy, wraz z infrastrukturą towarzyszącą na terenie oczyszczalni ścieków ŁYNA w Olsztynie oraz integracji ww. agregatu z infrastrukturą istniejącą na obiekcie</w:t>
      </w:r>
      <w:r w:rsidR="005A389B" w:rsidRPr="005C570F">
        <w:rPr>
          <w:b/>
          <w:sz w:val="22"/>
          <w:szCs w:val="22"/>
        </w:rPr>
        <w:t>”</w:t>
      </w:r>
      <w:r w:rsidR="005A389B" w:rsidRPr="005C570F">
        <w:rPr>
          <w:color w:val="000000" w:themeColor="text1"/>
          <w:sz w:val="22"/>
          <w:szCs w:val="22"/>
        </w:rPr>
        <w:t xml:space="preserve">. </w:t>
      </w:r>
    </w:p>
    <w:p w14:paraId="54F5BF26" w14:textId="77777777" w:rsidR="005A389B" w:rsidRPr="006C3A83" w:rsidRDefault="005A389B" w:rsidP="005A389B">
      <w:pPr>
        <w:suppressAutoHyphens/>
        <w:autoSpaceDE w:val="0"/>
        <w:autoSpaceDN w:val="0"/>
        <w:adjustRightInd w:val="0"/>
        <w:spacing w:after="120"/>
        <w:ind w:left="284"/>
        <w:jc w:val="both"/>
        <w:textAlignment w:val="baseline"/>
        <w:rPr>
          <w:color w:val="000000" w:themeColor="text1"/>
          <w:sz w:val="22"/>
          <w:szCs w:val="22"/>
          <w:u w:val="single"/>
        </w:rPr>
      </w:pPr>
      <w:r w:rsidRPr="006C3A83">
        <w:rPr>
          <w:color w:val="000000" w:themeColor="text1"/>
          <w:sz w:val="22"/>
          <w:szCs w:val="22"/>
          <w:u w:val="single"/>
        </w:rPr>
        <w:t xml:space="preserve">Zakres robót obejmuje: </w:t>
      </w:r>
    </w:p>
    <w:p w14:paraId="72B30438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 xml:space="preserve">Roboty </w:t>
      </w:r>
      <w:proofErr w:type="spellStart"/>
      <w:r w:rsidRPr="005C570F">
        <w:rPr>
          <w:b/>
          <w:color w:val="000000" w:themeColor="text1"/>
          <w:sz w:val="22"/>
          <w:szCs w:val="22"/>
        </w:rPr>
        <w:t>architektoniczno</w:t>
      </w:r>
      <w:proofErr w:type="spellEnd"/>
      <w:r w:rsidRPr="005C570F">
        <w:rPr>
          <w:b/>
          <w:color w:val="000000" w:themeColor="text1"/>
          <w:sz w:val="22"/>
          <w:szCs w:val="22"/>
        </w:rPr>
        <w:t xml:space="preserve"> - konstrukcyjne</w:t>
      </w:r>
    </w:p>
    <w:p w14:paraId="53D3DE16" w14:textId="68F95AF3" w:rsidR="005A389B" w:rsidRPr="005C570F" w:rsidRDefault="00350DA4" w:rsidP="005A389B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pl-PL"/>
        </w:rPr>
        <w:t>b</w:t>
      </w:r>
      <w:r w:rsidR="00665FF6">
        <w:rPr>
          <w:rFonts w:ascii="Times New Roman" w:hAnsi="Times New Roman"/>
          <w:szCs w:val="22"/>
          <w:lang w:val="pl-PL"/>
        </w:rPr>
        <w:t xml:space="preserve">udowa fundamentu pod agregat oraz fundamentu pod stację osuszania i usuwania siloksanów z biogazu, </w:t>
      </w:r>
    </w:p>
    <w:p w14:paraId="192AAF46" w14:textId="1845CE6B" w:rsidR="005A389B" w:rsidRPr="005C570F" w:rsidRDefault="005A389B" w:rsidP="00665FF6">
      <w:pPr>
        <w:widowControl w:val="0"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/>
          <w:sz w:val="22"/>
          <w:szCs w:val="22"/>
          <w:u w:val="single"/>
        </w:rPr>
      </w:pPr>
      <w:r w:rsidRPr="005C570F">
        <w:rPr>
          <w:b/>
          <w:sz w:val="22"/>
          <w:szCs w:val="22"/>
          <w:u w:val="single"/>
        </w:rPr>
        <w:t>Rozbiórki:</w:t>
      </w:r>
    </w:p>
    <w:p w14:paraId="1592D092" w14:textId="78E924CB" w:rsidR="005A389B" w:rsidRPr="005C570F" w:rsidRDefault="00350DA4" w:rsidP="005A389B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pl-PL"/>
        </w:rPr>
        <w:t>d</w:t>
      </w:r>
      <w:r w:rsidR="00665FF6">
        <w:rPr>
          <w:rFonts w:ascii="Times New Roman" w:hAnsi="Times New Roman"/>
          <w:szCs w:val="22"/>
          <w:lang w:val="pl-PL"/>
        </w:rPr>
        <w:t>em</w:t>
      </w:r>
      <w:r w:rsidR="00A850F1">
        <w:rPr>
          <w:rFonts w:ascii="Times New Roman" w:hAnsi="Times New Roman"/>
          <w:szCs w:val="22"/>
          <w:lang w:val="pl-PL"/>
        </w:rPr>
        <w:t>ontaż zbiornika na olej opałowy.</w:t>
      </w:r>
      <w:r w:rsidR="005A389B" w:rsidRPr="005C570F">
        <w:rPr>
          <w:rFonts w:ascii="Times New Roman" w:hAnsi="Times New Roman"/>
          <w:szCs w:val="22"/>
        </w:rPr>
        <w:t xml:space="preserve"> </w:t>
      </w:r>
    </w:p>
    <w:p w14:paraId="3C583719" w14:textId="77777777" w:rsidR="005A389B" w:rsidRPr="005C570F" w:rsidRDefault="005A389B" w:rsidP="005A389B">
      <w:pPr>
        <w:pStyle w:val="NormalnyEKOVERT"/>
        <w:spacing w:before="0" w:line="264" w:lineRule="auto"/>
        <w:ind w:left="720"/>
        <w:rPr>
          <w:rFonts w:ascii="Times New Roman" w:hAnsi="Times New Roman"/>
          <w:szCs w:val="22"/>
        </w:rPr>
      </w:pPr>
    </w:p>
    <w:p w14:paraId="1F468D8E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Instalacje sanitarne</w:t>
      </w:r>
    </w:p>
    <w:p w14:paraId="5B26C477" w14:textId="372F0DC0" w:rsidR="005A389B" w:rsidRPr="005C570F" w:rsidRDefault="00350DA4" w:rsidP="005A389B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pl-PL"/>
        </w:rPr>
        <w:t>i</w:t>
      </w:r>
      <w:r w:rsidR="00665FF6">
        <w:rPr>
          <w:rFonts w:ascii="Times New Roman" w:hAnsi="Times New Roman"/>
          <w:szCs w:val="22"/>
          <w:lang w:val="pl-PL"/>
        </w:rPr>
        <w:t>nstalacja centralnego ogrzewania,</w:t>
      </w:r>
    </w:p>
    <w:p w14:paraId="794BDDF9" w14:textId="552EFFD3" w:rsidR="005A389B" w:rsidRPr="005C570F" w:rsidRDefault="00665FF6" w:rsidP="005A389B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pl-PL"/>
        </w:rPr>
        <w:t>kanalizacja odprowadzenia kondensatu</w:t>
      </w:r>
      <w:r w:rsidR="005A389B" w:rsidRPr="005C570F">
        <w:rPr>
          <w:rFonts w:ascii="Times New Roman" w:hAnsi="Times New Roman"/>
          <w:szCs w:val="22"/>
          <w:lang w:val="pl-PL"/>
        </w:rPr>
        <w:t>,</w:t>
      </w:r>
    </w:p>
    <w:p w14:paraId="6E8F8401" w14:textId="7ABDFFB8" w:rsidR="005A389B" w:rsidRPr="005C570F" w:rsidRDefault="00665FF6" w:rsidP="005A389B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pl-PL"/>
        </w:rPr>
        <w:t>instalacja gazu ziemnego i biogazu</w:t>
      </w:r>
      <w:r w:rsidR="005A389B" w:rsidRPr="005C570F">
        <w:rPr>
          <w:rFonts w:ascii="Times New Roman" w:hAnsi="Times New Roman"/>
          <w:szCs w:val="22"/>
        </w:rPr>
        <w:t>,</w:t>
      </w:r>
    </w:p>
    <w:p w14:paraId="12C7FF98" w14:textId="6670A325" w:rsidR="005A389B" w:rsidRPr="005C570F" w:rsidRDefault="00665FF6" w:rsidP="005A389B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pl-PL"/>
        </w:rPr>
        <w:t>wentylacja.</w:t>
      </w:r>
    </w:p>
    <w:p w14:paraId="1DA52CFB" w14:textId="3DDABDF3" w:rsidR="005A389B" w:rsidRPr="005C570F" w:rsidRDefault="00665FF6" w:rsidP="005A389B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obiekty liniowe - rurociągi </w:t>
      </w:r>
      <w:r w:rsidR="005A389B" w:rsidRPr="005C570F">
        <w:rPr>
          <w:rFonts w:ascii="Times New Roman" w:hAnsi="Times New Roman"/>
          <w:szCs w:val="22"/>
        </w:rPr>
        <w:t>technologiczne, kanalizac</w:t>
      </w:r>
      <w:r w:rsidR="005A389B" w:rsidRPr="00DF0443">
        <w:rPr>
          <w:rFonts w:ascii="Times New Roman" w:hAnsi="Times New Roman"/>
          <w:szCs w:val="22"/>
        </w:rPr>
        <w:t xml:space="preserve">ja, </w:t>
      </w:r>
      <w:r w:rsidR="00BB53B3" w:rsidRPr="00DF0443">
        <w:rPr>
          <w:rFonts w:ascii="Times New Roman" w:hAnsi="Times New Roman"/>
          <w:szCs w:val="22"/>
        </w:rPr>
        <w:t>linie kablowe</w:t>
      </w:r>
      <w:r w:rsidR="00D07CBE" w:rsidRPr="00DF0443">
        <w:rPr>
          <w:rFonts w:ascii="Times New Roman" w:hAnsi="Times New Roman"/>
          <w:szCs w:val="22"/>
        </w:rPr>
        <w:t>,</w:t>
      </w:r>
    </w:p>
    <w:p w14:paraId="64BB6CF4" w14:textId="77777777" w:rsidR="005A389B" w:rsidRPr="005C570F" w:rsidRDefault="005A389B" w:rsidP="005A389B">
      <w:pPr>
        <w:pStyle w:val="NormalnyEKOVERT"/>
        <w:spacing w:before="0" w:line="264" w:lineRule="auto"/>
        <w:ind w:left="360"/>
        <w:rPr>
          <w:rFonts w:ascii="Times New Roman" w:hAnsi="Times New Roman"/>
          <w:szCs w:val="22"/>
        </w:rPr>
      </w:pPr>
    </w:p>
    <w:p w14:paraId="2ED9C021" w14:textId="75676FB1" w:rsidR="005A389B" w:rsidRPr="005C570F" w:rsidRDefault="00665FF6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28" w:hanging="728"/>
        <w:jc w:val="both"/>
        <w:textAlignment w:val="baseline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Roboty t</w:t>
      </w:r>
      <w:r w:rsidR="005A389B" w:rsidRPr="005C570F">
        <w:rPr>
          <w:b/>
          <w:color w:val="000000" w:themeColor="text1"/>
          <w:sz w:val="22"/>
          <w:szCs w:val="22"/>
        </w:rPr>
        <w:t>echnologiczne</w:t>
      </w:r>
      <w:r>
        <w:rPr>
          <w:b/>
          <w:color w:val="000000" w:themeColor="text1"/>
          <w:sz w:val="22"/>
          <w:szCs w:val="22"/>
        </w:rPr>
        <w:t xml:space="preserve">, elektryczne i </w:t>
      </w:r>
      <w:proofErr w:type="spellStart"/>
      <w:r>
        <w:rPr>
          <w:b/>
          <w:color w:val="000000" w:themeColor="text1"/>
          <w:sz w:val="22"/>
          <w:szCs w:val="22"/>
        </w:rPr>
        <w:t>AKPiA</w:t>
      </w:r>
      <w:proofErr w:type="spellEnd"/>
    </w:p>
    <w:p w14:paraId="0C62293B" w14:textId="676148DC" w:rsidR="00665FF6" w:rsidRPr="00665FF6" w:rsidRDefault="00665FF6" w:rsidP="00665FF6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665FF6">
        <w:rPr>
          <w:rFonts w:ascii="Times New Roman" w:hAnsi="Times New Roman"/>
          <w:szCs w:val="22"/>
          <w:lang w:val="pl-PL"/>
        </w:rPr>
        <w:t>dostawa i montaż fabrycznie nowej jednostki kogeneracyjnej o mocy cieplnej min. 370 kW</w:t>
      </w:r>
      <w:r w:rsidR="000B2CA8">
        <w:rPr>
          <w:rFonts w:ascii="Times New Roman" w:hAnsi="Times New Roman"/>
          <w:szCs w:val="22"/>
          <w:lang w:val="pl-PL"/>
        </w:rPr>
        <w:br/>
      </w:r>
      <w:r w:rsidRPr="00665FF6">
        <w:rPr>
          <w:rFonts w:ascii="Times New Roman" w:hAnsi="Times New Roman"/>
          <w:szCs w:val="22"/>
          <w:lang w:val="pl-PL"/>
        </w:rPr>
        <w:t xml:space="preserve"> i elektrycznej min. 354 kW (jednostka kogeneracyjna wraz ze wszystkimi instalacjami towarzyszącymi wykonana z materiałów i części fabrycznie nowych wyprodukowanych nie później niż 12 miesięcy przed jej dostawą na plac budowy). Agregat oraz cała instalacja towarzysząca mają zapewnić pracę agregatu kogeneracyjnego z mocą co najmniej 350 kW </w:t>
      </w:r>
      <w:r w:rsidR="00DF0443">
        <w:rPr>
          <w:rFonts w:ascii="Times New Roman" w:hAnsi="Times New Roman"/>
          <w:szCs w:val="22"/>
          <w:lang w:val="pl-PL"/>
        </w:rPr>
        <w:t>w sposób ciągły</w:t>
      </w:r>
      <w:r w:rsidRPr="00665FF6">
        <w:rPr>
          <w:rFonts w:ascii="Times New Roman" w:hAnsi="Times New Roman"/>
          <w:szCs w:val="22"/>
          <w:lang w:val="pl-PL"/>
        </w:rPr>
        <w:t>, bez żadnych ograniczeń oraz dodatkowych warunków;</w:t>
      </w:r>
    </w:p>
    <w:p w14:paraId="2CD480EB" w14:textId="06000522" w:rsidR="00665FF6" w:rsidRPr="00BC072C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 xml:space="preserve">wykonanie instalacji </w:t>
      </w:r>
      <w:proofErr w:type="spellStart"/>
      <w:r w:rsidRPr="00BC072C">
        <w:rPr>
          <w:rFonts w:ascii="Times New Roman" w:hAnsi="Times New Roman"/>
          <w:szCs w:val="22"/>
          <w:lang w:val="pl-PL"/>
        </w:rPr>
        <w:t>AKPiA</w:t>
      </w:r>
      <w:proofErr w:type="spellEnd"/>
      <w:r w:rsidRPr="00BC072C">
        <w:rPr>
          <w:rFonts w:ascii="Times New Roman" w:hAnsi="Times New Roman"/>
          <w:szCs w:val="22"/>
          <w:lang w:val="pl-PL"/>
        </w:rPr>
        <w:t xml:space="preserve"> z zachowaniem standardu sterowników PLC</w:t>
      </w:r>
      <w:r w:rsidR="00350DA4" w:rsidRPr="00BC072C">
        <w:rPr>
          <w:rFonts w:ascii="Times New Roman" w:hAnsi="Times New Roman"/>
          <w:szCs w:val="22"/>
          <w:lang w:val="pl-PL"/>
        </w:rPr>
        <w:t xml:space="preserve"> i urządzeń sieciowych</w:t>
      </w:r>
      <w:r w:rsidRPr="00BC072C">
        <w:rPr>
          <w:rFonts w:ascii="Times New Roman" w:hAnsi="Times New Roman"/>
          <w:szCs w:val="22"/>
          <w:lang w:val="pl-PL"/>
        </w:rPr>
        <w:t xml:space="preserve"> zainstalowanych obecnie na oczyszczalni ścieków;</w:t>
      </w:r>
    </w:p>
    <w:p w14:paraId="587A9832" w14:textId="6F5C760A" w:rsidR="00B91AA1" w:rsidRPr="00BA7912" w:rsidRDefault="00665FF6" w:rsidP="00B91AA1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BC072C">
        <w:rPr>
          <w:rFonts w:ascii="Times New Roman" w:hAnsi="Times New Roman"/>
          <w:szCs w:val="22"/>
          <w:lang w:val="pl-PL"/>
        </w:rPr>
        <w:t xml:space="preserve">wykonanie rozdzielnic SN i </w:t>
      </w:r>
      <w:proofErr w:type="spellStart"/>
      <w:r w:rsidRPr="00BC072C">
        <w:rPr>
          <w:rFonts w:ascii="Times New Roman" w:hAnsi="Times New Roman"/>
          <w:szCs w:val="22"/>
          <w:lang w:val="pl-PL"/>
        </w:rPr>
        <w:t>nn</w:t>
      </w:r>
      <w:proofErr w:type="spellEnd"/>
      <w:r w:rsidRPr="00BC072C">
        <w:rPr>
          <w:rFonts w:ascii="Times New Roman" w:hAnsi="Times New Roman"/>
          <w:szCs w:val="22"/>
          <w:lang w:val="pl-PL"/>
        </w:rPr>
        <w:t xml:space="preserve">, tablic licznikowych, szaf </w:t>
      </w:r>
      <w:r w:rsidRPr="00BA7912">
        <w:rPr>
          <w:rFonts w:ascii="Times New Roman" w:hAnsi="Times New Roman"/>
          <w:szCs w:val="22"/>
          <w:lang w:val="pl-PL"/>
        </w:rPr>
        <w:t>elektrycznych, linii zasilających</w:t>
      </w:r>
      <w:r w:rsidR="00B91AA1" w:rsidRPr="00BA7912">
        <w:rPr>
          <w:rFonts w:ascii="Times New Roman" w:hAnsi="Times New Roman"/>
          <w:szCs w:val="22"/>
          <w:lang w:val="pl-PL"/>
        </w:rPr>
        <w:t xml:space="preserve"> z zachowaniem standardu </w:t>
      </w:r>
      <w:r w:rsidR="00BC072C" w:rsidRPr="00BA7912">
        <w:rPr>
          <w:rFonts w:ascii="Times New Roman" w:hAnsi="Times New Roman"/>
          <w:szCs w:val="22"/>
          <w:lang w:val="pl-PL"/>
        </w:rPr>
        <w:t>urządzeń zainstalowanych obecnie na oczyszczalni ścieków;</w:t>
      </w:r>
    </w:p>
    <w:p w14:paraId="6496460A" w14:textId="77777777" w:rsidR="00B91AA1" w:rsidRPr="00350DA4" w:rsidRDefault="00B91AA1" w:rsidP="00B91AA1">
      <w:pPr>
        <w:pStyle w:val="NormalnyEKOVERT"/>
        <w:spacing w:before="0" w:line="264" w:lineRule="auto"/>
        <w:rPr>
          <w:rFonts w:ascii="Times New Roman" w:hAnsi="Times New Roman"/>
          <w:szCs w:val="22"/>
          <w:highlight w:val="yellow"/>
          <w:lang w:val="pl-PL"/>
        </w:rPr>
      </w:pPr>
    </w:p>
    <w:p w14:paraId="338654FF" w14:textId="3E93AF44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wykonanie instalacji elektrycznych zasilających urządzenia technologiczne;</w:t>
      </w:r>
    </w:p>
    <w:p w14:paraId="4377912E" w14:textId="541F0F07" w:rsidR="00665FF6" w:rsidRPr="00665FF6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szCs w:val="22"/>
        </w:rPr>
      </w:pPr>
      <w:r w:rsidRPr="0041141F">
        <w:rPr>
          <w:rFonts w:ascii="Times New Roman" w:hAnsi="Times New Roman"/>
          <w:szCs w:val="22"/>
          <w:lang w:val="pl-PL"/>
        </w:rPr>
        <w:t>wyposażenie agregatu w urządzenia zabezpieczające przed uszkodzeniami powstającymi w</w:t>
      </w:r>
      <w:r w:rsidRPr="00665FF6">
        <w:rPr>
          <w:szCs w:val="22"/>
        </w:rPr>
        <w:t xml:space="preserve"> </w:t>
      </w:r>
      <w:r w:rsidRPr="0041141F">
        <w:rPr>
          <w:rFonts w:ascii="Times New Roman" w:hAnsi="Times New Roman"/>
          <w:szCs w:val="22"/>
          <w:lang w:val="pl-PL"/>
        </w:rPr>
        <w:t>wyniku nagłych zaników napięcia sieciowego oraz zabezpieczenie obwodów potrzeb własnych agregatu za pomocą zasilacza UPS umożliwiającego jednoczesne podtrzymanie pracy wszystkich ww. o</w:t>
      </w:r>
      <w:r w:rsidR="00A850F1">
        <w:rPr>
          <w:rFonts w:ascii="Times New Roman" w:hAnsi="Times New Roman"/>
          <w:szCs w:val="22"/>
          <w:lang w:val="pl-PL"/>
        </w:rPr>
        <w:t>bwodów</w:t>
      </w:r>
      <w:r w:rsidRPr="0041141F">
        <w:rPr>
          <w:rFonts w:ascii="Times New Roman" w:hAnsi="Times New Roman"/>
          <w:szCs w:val="22"/>
          <w:lang w:val="pl-PL"/>
        </w:rPr>
        <w:t xml:space="preserve"> do czasu bezpiecznego wyłączenia jednostki</w:t>
      </w:r>
      <w:r w:rsidRPr="00665FF6">
        <w:rPr>
          <w:szCs w:val="22"/>
        </w:rPr>
        <w:t>;</w:t>
      </w:r>
    </w:p>
    <w:p w14:paraId="5D0963AE" w14:textId="3B642022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zabezpieczenie agregatu przed dostępem osób niepożądanych - system jednego klucza stosowany obecnie na oczyszczalni ścieków;</w:t>
      </w:r>
    </w:p>
    <w:p w14:paraId="4C41FF79" w14:textId="4281BDBB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trwałe oznaczenie urządzeń, rurociągów, medium, kierunków przepływu itp.;</w:t>
      </w:r>
    </w:p>
    <w:p w14:paraId="1AF2A910" w14:textId="7866BA3E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wykonanie instalacji uziemiających i odgromowych;</w:t>
      </w:r>
    </w:p>
    <w:p w14:paraId="17728212" w14:textId="17913D3E" w:rsidR="00665FF6" w:rsidRPr="00665FF6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szCs w:val="22"/>
        </w:rPr>
      </w:pPr>
      <w:r w:rsidRPr="0041141F">
        <w:rPr>
          <w:rFonts w:ascii="Times New Roman" w:hAnsi="Times New Roman"/>
          <w:szCs w:val="22"/>
          <w:lang w:val="pl-PL"/>
        </w:rPr>
        <w:t xml:space="preserve">wykonanie instalacji ciepła technologicznego, wentylacji, gazu sieciowego oraz biogazu </w:t>
      </w:r>
      <w:r w:rsidR="000B2CA8">
        <w:rPr>
          <w:rFonts w:ascii="Times New Roman" w:hAnsi="Times New Roman"/>
          <w:szCs w:val="22"/>
          <w:lang w:val="pl-PL"/>
        </w:rPr>
        <w:br/>
      </w:r>
      <w:r w:rsidRPr="0041141F">
        <w:rPr>
          <w:rFonts w:ascii="Times New Roman" w:hAnsi="Times New Roman"/>
          <w:szCs w:val="22"/>
          <w:lang w:val="pl-PL"/>
        </w:rPr>
        <w:t>w</w:t>
      </w:r>
      <w:r w:rsidRPr="00665FF6">
        <w:rPr>
          <w:szCs w:val="22"/>
        </w:rPr>
        <w:t xml:space="preserve"> </w:t>
      </w:r>
      <w:r w:rsidRPr="0041141F">
        <w:rPr>
          <w:rFonts w:ascii="Times New Roman" w:hAnsi="Times New Roman"/>
          <w:szCs w:val="22"/>
          <w:lang w:val="pl-PL"/>
        </w:rPr>
        <w:t>budynku kotłowni;</w:t>
      </w:r>
    </w:p>
    <w:p w14:paraId="1EF4A15E" w14:textId="7EAE1A37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wykonanie instalacji technologicznych w budynku kotłowni,</w:t>
      </w:r>
    </w:p>
    <w:p w14:paraId="29DF48CC" w14:textId="4F85F628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 xml:space="preserve">wykonanie sieci </w:t>
      </w:r>
      <w:proofErr w:type="spellStart"/>
      <w:r w:rsidRPr="0041141F">
        <w:rPr>
          <w:rFonts w:ascii="Times New Roman" w:hAnsi="Times New Roman"/>
          <w:szCs w:val="22"/>
          <w:lang w:val="pl-PL"/>
        </w:rPr>
        <w:t>międzyobiektowych</w:t>
      </w:r>
      <w:proofErr w:type="spellEnd"/>
      <w:r w:rsidRPr="0041141F">
        <w:rPr>
          <w:rFonts w:ascii="Times New Roman" w:hAnsi="Times New Roman"/>
          <w:szCs w:val="22"/>
          <w:lang w:val="pl-PL"/>
        </w:rPr>
        <w:t xml:space="preserve"> elektrycznych, </w:t>
      </w:r>
      <w:proofErr w:type="spellStart"/>
      <w:r w:rsidRPr="0041141F">
        <w:rPr>
          <w:rFonts w:ascii="Times New Roman" w:hAnsi="Times New Roman"/>
          <w:szCs w:val="22"/>
          <w:lang w:val="pl-PL"/>
        </w:rPr>
        <w:t>AKPiA</w:t>
      </w:r>
      <w:proofErr w:type="spellEnd"/>
      <w:r w:rsidR="00350DA4">
        <w:rPr>
          <w:rFonts w:ascii="Times New Roman" w:hAnsi="Times New Roman"/>
          <w:szCs w:val="22"/>
          <w:lang w:val="pl-PL"/>
        </w:rPr>
        <w:t>,</w:t>
      </w:r>
      <w:r w:rsidRPr="0041141F">
        <w:rPr>
          <w:rFonts w:ascii="Times New Roman" w:hAnsi="Times New Roman"/>
          <w:szCs w:val="22"/>
          <w:lang w:val="pl-PL"/>
        </w:rPr>
        <w:t xml:space="preserve"> gazowej i biogazowej,</w:t>
      </w:r>
      <w:r w:rsidRPr="00665FF6">
        <w:rPr>
          <w:szCs w:val="22"/>
        </w:rPr>
        <w:t xml:space="preserve"> </w:t>
      </w:r>
      <w:r w:rsidRPr="0041141F">
        <w:rPr>
          <w:rFonts w:ascii="Times New Roman" w:hAnsi="Times New Roman"/>
          <w:szCs w:val="22"/>
          <w:lang w:val="pl-PL"/>
        </w:rPr>
        <w:t>kanalizacyjnej, cieplnej, bypassu umożliwiającego obejście stacji usuwania siloksanów;</w:t>
      </w:r>
    </w:p>
    <w:p w14:paraId="75F8960B" w14:textId="245505DD" w:rsidR="00665FF6" w:rsidRPr="00901766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 xml:space="preserve">włączenie wszystkich nowych urządzeń do obecnie użytkowanego systemu wizualizacji wraz z jego rozbudową (Wykonawca podłączy urządzenia do istniejącego u Zamawiającego systemu </w:t>
      </w:r>
      <w:r w:rsidRPr="0041141F">
        <w:rPr>
          <w:rFonts w:ascii="Times New Roman" w:hAnsi="Times New Roman"/>
          <w:szCs w:val="22"/>
          <w:lang w:val="pl-PL"/>
        </w:rPr>
        <w:lastRenderedPageBreak/>
        <w:t xml:space="preserve">wizualizacji i prześle do niego niezbędne do prowadzenia prawidłowej eksploatacji </w:t>
      </w:r>
      <w:r w:rsidR="000B2CA8">
        <w:rPr>
          <w:rFonts w:ascii="Times New Roman" w:hAnsi="Times New Roman"/>
          <w:szCs w:val="22"/>
          <w:lang w:val="pl-PL"/>
        </w:rPr>
        <w:br/>
      </w:r>
      <w:r w:rsidRPr="0041141F">
        <w:rPr>
          <w:rFonts w:ascii="Times New Roman" w:hAnsi="Times New Roman"/>
          <w:szCs w:val="22"/>
          <w:lang w:val="pl-PL"/>
        </w:rPr>
        <w:t>i nadzoru przez pracowników Zamawiającego parametry i sygnały. Parametry przesyłane do systemu wizualizacji i monitoringu należy uzgodnić z Zamawiającym. Dodatkowo Wykonawca dostarczy licencje na zastosowane systemy informatyczne, programy komputerowe itd. rozbuduje istniejącą wizualizację o wszystkie możliwe do czytania parametry. Maska (plansza) ta będzie wykonan</w:t>
      </w:r>
      <w:r w:rsidR="0041141F">
        <w:rPr>
          <w:rFonts w:ascii="Times New Roman" w:hAnsi="Times New Roman"/>
          <w:szCs w:val="22"/>
          <w:lang w:val="pl-PL"/>
        </w:rPr>
        <w:t>a jako osobna, ale w pełni inte</w:t>
      </w:r>
      <w:r w:rsidRPr="0041141F">
        <w:rPr>
          <w:rFonts w:ascii="Times New Roman" w:hAnsi="Times New Roman"/>
          <w:szCs w:val="22"/>
          <w:lang w:val="pl-PL"/>
        </w:rPr>
        <w:t>graln</w:t>
      </w:r>
      <w:r w:rsidR="00A850F1">
        <w:rPr>
          <w:rFonts w:ascii="Times New Roman" w:hAnsi="Times New Roman"/>
          <w:szCs w:val="22"/>
          <w:lang w:val="pl-PL"/>
        </w:rPr>
        <w:t>a</w:t>
      </w:r>
      <w:r w:rsidRPr="0041141F">
        <w:rPr>
          <w:rFonts w:ascii="Times New Roman" w:hAnsi="Times New Roman"/>
          <w:szCs w:val="22"/>
          <w:lang w:val="pl-PL"/>
        </w:rPr>
        <w:t xml:space="preserve"> część obecnego systemu wizualizacji. Będzie ona zawierała w pełni funkcjonalny podkład graficzny z rysunkiem generatora oraz innych instalacji towarzyszących, tak aby była możliwość pełnego podglądu parametrów pracy. Będzie ona również wypo</w:t>
      </w:r>
      <w:r w:rsidR="0041141F">
        <w:rPr>
          <w:rFonts w:ascii="Times New Roman" w:hAnsi="Times New Roman"/>
          <w:szCs w:val="22"/>
          <w:lang w:val="pl-PL"/>
        </w:rPr>
        <w:t>sażona w możliwość oglądania wy</w:t>
      </w:r>
      <w:r w:rsidRPr="0041141F">
        <w:rPr>
          <w:rFonts w:ascii="Times New Roman" w:hAnsi="Times New Roman"/>
          <w:szCs w:val="22"/>
          <w:lang w:val="pl-PL"/>
        </w:rPr>
        <w:t xml:space="preserve">kresów zarówno historycznych jak i </w:t>
      </w:r>
      <w:r w:rsidR="00A850F1">
        <w:rPr>
          <w:rFonts w:ascii="Times New Roman" w:hAnsi="Times New Roman"/>
          <w:szCs w:val="22"/>
          <w:lang w:val="pl-PL"/>
        </w:rPr>
        <w:t xml:space="preserve">na </w:t>
      </w:r>
      <w:r w:rsidR="00350DA4" w:rsidRPr="00901766">
        <w:rPr>
          <w:rFonts w:ascii="Times New Roman" w:hAnsi="Times New Roman"/>
          <w:szCs w:val="22"/>
          <w:lang w:val="pl-PL"/>
        </w:rPr>
        <w:t>bieżąco</w:t>
      </w:r>
      <w:r w:rsidRPr="00901766">
        <w:rPr>
          <w:rFonts w:ascii="Times New Roman" w:hAnsi="Times New Roman"/>
          <w:szCs w:val="22"/>
          <w:lang w:val="pl-PL"/>
        </w:rPr>
        <w:t>;</w:t>
      </w:r>
    </w:p>
    <w:p w14:paraId="1E3167CA" w14:textId="75BA124D" w:rsidR="00350DA4" w:rsidRPr="00901766" w:rsidRDefault="00350DA4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901766">
        <w:rPr>
          <w:rFonts w:ascii="Times New Roman" w:hAnsi="Times New Roman"/>
          <w:szCs w:val="22"/>
          <w:lang w:val="pl-PL"/>
        </w:rPr>
        <w:t xml:space="preserve">odwzorowanie </w:t>
      </w:r>
      <w:r w:rsidR="00901766" w:rsidRPr="00901766">
        <w:rPr>
          <w:rFonts w:ascii="Times New Roman" w:hAnsi="Times New Roman"/>
          <w:szCs w:val="22"/>
          <w:lang w:val="pl-PL"/>
        </w:rPr>
        <w:t xml:space="preserve">w SCADA na istniejących maskach </w:t>
      </w:r>
      <w:r w:rsidRPr="00901766">
        <w:rPr>
          <w:rFonts w:ascii="Times New Roman" w:hAnsi="Times New Roman"/>
          <w:szCs w:val="22"/>
          <w:lang w:val="pl-PL"/>
        </w:rPr>
        <w:t xml:space="preserve">stanu łączników </w:t>
      </w:r>
      <w:r w:rsidR="00901766" w:rsidRPr="00901766">
        <w:rPr>
          <w:rFonts w:ascii="Times New Roman" w:hAnsi="Times New Roman"/>
          <w:szCs w:val="22"/>
          <w:lang w:val="pl-PL"/>
        </w:rPr>
        <w:t>agregatu i</w:t>
      </w:r>
      <w:r w:rsidRPr="00901766">
        <w:rPr>
          <w:rFonts w:ascii="Times New Roman" w:hAnsi="Times New Roman"/>
          <w:szCs w:val="22"/>
          <w:lang w:val="pl-PL"/>
        </w:rPr>
        <w:t xml:space="preserve"> </w:t>
      </w:r>
      <w:r w:rsidR="00AE3D9F" w:rsidRPr="00901766">
        <w:rPr>
          <w:rFonts w:ascii="Times New Roman" w:hAnsi="Times New Roman"/>
          <w:szCs w:val="22"/>
          <w:lang w:val="pl-PL"/>
        </w:rPr>
        <w:t xml:space="preserve">trafostacji </w:t>
      </w:r>
      <w:r w:rsidR="00247C00" w:rsidRPr="00901766">
        <w:rPr>
          <w:rFonts w:ascii="Times New Roman" w:hAnsi="Times New Roman"/>
          <w:szCs w:val="22"/>
          <w:lang w:val="pl-PL"/>
        </w:rPr>
        <w:t>wykonan</w:t>
      </w:r>
      <w:r w:rsidR="00901766" w:rsidRPr="00901766">
        <w:rPr>
          <w:rFonts w:ascii="Times New Roman" w:hAnsi="Times New Roman"/>
          <w:szCs w:val="22"/>
          <w:lang w:val="pl-PL"/>
        </w:rPr>
        <w:t>ych</w:t>
      </w:r>
      <w:r w:rsidRPr="00901766">
        <w:rPr>
          <w:rFonts w:ascii="Times New Roman" w:hAnsi="Times New Roman"/>
          <w:szCs w:val="22"/>
          <w:lang w:val="pl-PL"/>
        </w:rPr>
        <w:t xml:space="preserve"> w ramach modernizacji </w:t>
      </w:r>
      <w:r w:rsidR="00247C00" w:rsidRPr="00901766">
        <w:rPr>
          <w:rFonts w:ascii="Times New Roman" w:hAnsi="Times New Roman"/>
          <w:szCs w:val="22"/>
          <w:lang w:val="pl-PL"/>
        </w:rPr>
        <w:t xml:space="preserve">systemu </w:t>
      </w:r>
      <w:r w:rsidRPr="00901766">
        <w:rPr>
          <w:rFonts w:ascii="Times New Roman" w:hAnsi="Times New Roman"/>
          <w:szCs w:val="22"/>
          <w:lang w:val="pl-PL"/>
        </w:rPr>
        <w:t>napowietrzania</w:t>
      </w:r>
      <w:r w:rsidR="00247C00" w:rsidRPr="00901766">
        <w:rPr>
          <w:rFonts w:ascii="Times New Roman" w:hAnsi="Times New Roman"/>
          <w:szCs w:val="22"/>
          <w:lang w:val="pl-PL"/>
        </w:rPr>
        <w:t xml:space="preserve">, którego administratorem </w:t>
      </w:r>
      <w:r w:rsidR="00901766" w:rsidRPr="00901766">
        <w:rPr>
          <w:rFonts w:ascii="Times New Roman" w:hAnsi="Times New Roman"/>
          <w:szCs w:val="22"/>
          <w:lang w:val="pl-PL"/>
        </w:rPr>
        <w:t xml:space="preserve">i  gwarantem </w:t>
      </w:r>
      <w:r w:rsidR="00247C00" w:rsidRPr="00901766">
        <w:rPr>
          <w:rFonts w:ascii="Times New Roman" w:hAnsi="Times New Roman"/>
          <w:szCs w:val="22"/>
          <w:lang w:val="pl-PL"/>
        </w:rPr>
        <w:t>jest firma DP SYSTEM do 2032 roku.</w:t>
      </w:r>
      <w:r w:rsidRPr="00901766">
        <w:rPr>
          <w:rFonts w:ascii="Times New Roman" w:hAnsi="Times New Roman"/>
          <w:szCs w:val="22"/>
          <w:lang w:val="pl-PL"/>
        </w:rPr>
        <w:t xml:space="preserve"> Wszelkie zmiany </w:t>
      </w:r>
      <w:r w:rsidR="00901766" w:rsidRPr="00901766">
        <w:rPr>
          <w:rFonts w:ascii="Times New Roman" w:hAnsi="Times New Roman"/>
          <w:szCs w:val="22"/>
          <w:lang w:val="pl-PL"/>
        </w:rPr>
        <w:t xml:space="preserve">i ingerencja w  system </w:t>
      </w:r>
      <w:r w:rsidRPr="00901766">
        <w:rPr>
          <w:rFonts w:ascii="Times New Roman" w:hAnsi="Times New Roman"/>
          <w:szCs w:val="22"/>
          <w:lang w:val="pl-PL"/>
        </w:rPr>
        <w:t xml:space="preserve">muszą być uzgodnione z </w:t>
      </w:r>
      <w:r w:rsidR="00247C00" w:rsidRPr="00901766">
        <w:rPr>
          <w:rFonts w:ascii="Times New Roman" w:hAnsi="Times New Roman"/>
          <w:szCs w:val="22"/>
          <w:lang w:val="pl-PL"/>
        </w:rPr>
        <w:t>gwarantem</w:t>
      </w:r>
      <w:r w:rsidRPr="00901766">
        <w:rPr>
          <w:rFonts w:ascii="Times New Roman" w:hAnsi="Times New Roman"/>
          <w:szCs w:val="22"/>
          <w:lang w:val="pl-PL"/>
        </w:rPr>
        <w:t>;</w:t>
      </w:r>
    </w:p>
    <w:p w14:paraId="5CA11F54" w14:textId="1A35060D" w:rsidR="00665FF6" w:rsidRPr="00DF0443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rozbudowa istniejącej tablicy mozaikowej w dyspozytorni o blok agregatu kogeneracyjnego (pra</w:t>
      </w:r>
      <w:r w:rsidRPr="00DF0443">
        <w:rPr>
          <w:rFonts w:ascii="Times New Roman" w:hAnsi="Times New Roman"/>
          <w:szCs w:val="22"/>
          <w:lang w:val="pl-PL"/>
        </w:rPr>
        <w:t>ca/awaria/serwis);</w:t>
      </w:r>
    </w:p>
    <w:p w14:paraId="2C3BB2C2" w14:textId="21726BF1" w:rsidR="00665FF6" w:rsidRPr="00DF0443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DF0443">
        <w:rPr>
          <w:rFonts w:ascii="Times New Roman" w:hAnsi="Times New Roman"/>
          <w:szCs w:val="22"/>
          <w:lang w:val="pl-PL"/>
        </w:rPr>
        <w:t>zapewnienie komunikacji poprzez moduł obsługujący sieć min. 4G</w:t>
      </w:r>
      <w:r w:rsidR="0041141F" w:rsidRPr="00DF0443">
        <w:rPr>
          <w:rFonts w:ascii="Times New Roman" w:hAnsi="Times New Roman"/>
          <w:szCs w:val="22"/>
          <w:lang w:val="pl-PL"/>
        </w:rPr>
        <w:t xml:space="preserve"> z operatorem sieci elektroenergetycznej</w:t>
      </w:r>
      <w:r w:rsidRPr="00DF0443">
        <w:rPr>
          <w:rFonts w:ascii="Times New Roman" w:hAnsi="Times New Roman"/>
          <w:szCs w:val="22"/>
          <w:lang w:val="pl-PL"/>
        </w:rPr>
        <w:t xml:space="preserve">, </w:t>
      </w:r>
    </w:p>
    <w:p w14:paraId="09457CC5" w14:textId="402D9101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wykonanie robót ziemnych, budowlanych;</w:t>
      </w:r>
    </w:p>
    <w:p w14:paraId="49D03F33" w14:textId="7578B80D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 xml:space="preserve">prace geodezyjne; </w:t>
      </w:r>
    </w:p>
    <w:p w14:paraId="551552C1" w14:textId="5C751B93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pomiary, próby, badania, rozruch technologiczny, szkolenia,</w:t>
      </w:r>
    </w:p>
    <w:p w14:paraId="2E149E0A" w14:textId="6F801915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 xml:space="preserve">reprezentowanie zamawiającego oraz przeprowadzenie wszelkich wymaganych czynności </w:t>
      </w:r>
      <w:r w:rsidR="000B2CA8">
        <w:rPr>
          <w:rFonts w:ascii="Times New Roman" w:hAnsi="Times New Roman"/>
          <w:szCs w:val="22"/>
          <w:lang w:val="pl-PL"/>
        </w:rPr>
        <w:br/>
      </w:r>
      <w:r w:rsidRPr="0041141F">
        <w:rPr>
          <w:rFonts w:ascii="Times New Roman" w:hAnsi="Times New Roman"/>
          <w:szCs w:val="22"/>
          <w:lang w:val="pl-PL"/>
        </w:rPr>
        <w:t>w</w:t>
      </w:r>
      <w:r w:rsidRPr="00665FF6">
        <w:rPr>
          <w:szCs w:val="22"/>
        </w:rPr>
        <w:t xml:space="preserve"> </w:t>
      </w:r>
      <w:r w:rsidRPr="0041141F">
        <w:rPr>
          <w:rFonts w:ascii="Times New Roman" w:hAnsi="Times New Roman"/>
          <w:szCs w:val="22"/>
          <w:lang w:val="pl-PL"/>
        </w:rPr>
        <w:t xml:space="preserve">ramach </w:t>
      </w:r>
      <w:r w:rsidR="00A850F1">
        <w:rPr>
          <w:rFonts w:ascii="Times New Roman" w:hAnsi="Times New Roman"/>
          <w:szCs w:val="22"/>
          <w:lang w:val="pl-PL"/>
        </w:rPr>
        <w:t>postępowania przed OSD mające</w:t>
      </w:r>
      <w:r w:rsidRPr="0041141F">
        <w:rPr>
          <w:rFonts w:ascii="Times New Roman" w:hAnsi="Times New Roman"/>
          <w:szCs w:val="22"/>
          <w:lang w:val="pl-PL"/>
        </w:rPr>
        <w:t xml:space="preserve"> na celu uzyskanie dopuszczenia jednostki wytwórczej do pracy w jego sieci elektroenergetycznej, takich jak: uzgodnienia z OSD, odbiory przez OSD i inne;</w:t>
      </w:r>
    </w:p>
    <w:p w14:paraId="67FFBCFF" w14:textId="6D41ABA2" w:rsidR="00665FF6" w:rsidRPr="0041141F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 xml:space="preserve">uzgodnienia i odbiory z ENERGA OPERATOR S.A. w tym pełny zakres telemechaniki; </w:t>
      </w:r>
    </w:p>
    <w:p w14:paraId="1C34C7AC" w14:textId="1397008F" w:rsidR="00665FF6" w:rsidRPr="00901766" w:rsidRDefault="00665FF6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41141F">
        <w:rPr>
          <w:rFonts w:ascii="Times New Roman" w:hAnsi="Times New Roman"/>
          <w:szCs w:val="22"/>
          <w:lang w:val="pl-PL"/>
        </w:rPr>
        <w:t>ostateczna lista sygnałów telemechaniki zostanie opracowana na etapie realizacji przez</w:t>
      </w:r>
      <w:r w:rsidRPr="00665FF6">
        <w:rPr>
          <w:szCs w:val="22"/>
        </w:rPr>
        <w:t xml:space="preserve"> </w:t>
      </w:r>
      <w:r w:rsidRPr="0041141F">
        <w:rPr>
          <w:rFonts w:ascii="Times New Roman" w:hAnsi="Times New Roman"/>
          <w:szCs w:val="22"/>
          <w:lang w:val="pl-PL"/>
        </w:rPr>
        <w:t xml:space="preserve">Wykonawcę, </w:t>
      </w:r>
      <w:r w:rsidRPr="00901766">
        <w:rPr>
          <w:rFonts w:ascii="Times New Roman" w:hAnsi="Times New Roman"/>
          <w:szCs w:val="22"/>
          <w:lang w:val="pl-PL"/>
        </w:rPr>
        <w:t>zgodnie z uzgodnieniem z ENERGA nr PT/004246/6MMD/24 (załącznik do projektu) oraz zgodnie ze standardami przyjętymi do stosowania w ENERGA OPERATOR SA.</w:t>
      </w:r>
    </w:p>
    <w:p w14:paraId="738B723F" w14:textId="12AE9FD2" w:rsidR="00350DA4" w:rsidRPr="00901766" w:rsidRDefault="00350DA4" w:rsidP="0041141F">
      <w:pPr>
        <w:pStyle w:val="NormalnyEKOVERT"/>
        <w:numPr>
          <w:ilvl w:val="0"/>
          <w:numId w:val="3"/>
        </w:numPr>
        <w:spacing w:before="0" w:line="264" w:lineRule="auto"/>
        <w:rPr>
          <w:rFonts w:ascii="Times New Roman" w:hAnsi="Times New Roman"/>
          <w:szCs w:val="22"/>
          <w:lang w:val="pl-PL"/>
        </w:rPr>
      </w:pPr>
      <w:r w:rsidRPr="00901766">
        <w:rPr>
          <w:rFonts w:ascii="Times New Roman" w:hAnsi="Times New Roman"/>
          <w:szCs w:val="22"/>
          <w:lang w:val="pl-PL"/>
        </w:rPr>
        <w:t>koordyn</w:t>
      </w:r>
      <w:r w:rsidR="00247C00" w:rsidRPr="00901766">
        <w:rPr>
          <w:rFonts w:ascii="Times New Roman" w:hAnsi="Times New Roman"/>
          <w:szCs w:val="22"/>
          <w:lang w:val="pl-PL"/>
        </w:rPr>
        <w:t>ac</w:t>
      </w:r>
      <w:r w:rsidRPr="00901766">
        <w:rPr>
          <w:rFonts w:ascii="Times New Roman" w:hAnsi="Times New Roman"/>
          <w:szCs w:val="22"/>
          <w:lang w:val="pl-PL"/>
        </w:rPr>
        <w:t>j</w:t>
      </w:r>
      <w:r w:rsidR="00247C00" w:rsidRPr="00901766">
        <w:rPr>
          <w:rFonts w:ascii="Times New Roman" w:hAnsi="Times New Roman"/>
          <w:szCs w:val="22"/>
          <w:lang w:val="pl-PL"/>
        </w:rPr>
        <w:t>a</w:t>
      </w:r>
      <w:r w:rsidRPr="00901766">
        <w:rPr>
          <w:rFonts w:ascii="Times New Roman" w:hAnsi="Times New Roman"/>
          <w:szCs w:val="22"/>
          <w:lang w:val="pl-PL"/>
        </w:rPr>
        <w:t xml:space="preserve"> rob</w:t>
      </w:r>
      <w:r w:rsidR="00247C00" w:rsidRPr="00901766">
        <w:rPr>
          <w:rFonts w:ascii="Times New Roman" w:hAnsi="Times New Roman"/>
          <w:szCs w:val="22"/>
          <w:lang w:val="pl-PL"/>
        </w:rPr>
        <w:t>ót</w:t>
      </w:r>
      <w:r w:rsidRPr="00901766">
        <w:rPr>
          <w:rFonts w:ascii="Times New Roman" w:hAnsi="Times New Roman"/>
          <w:szCs w:val="22"/>
          <w:lang w:val="pl-PL"/>
        </w:rPr>
        <w:t xml:space="preserve"> z robotami wykonywanymi w ramach innych zadań realizowanych na Oczyszczalni. W przypadku konieczności ingerencji w urządzenia </w:t>
      </w:r>
      <w:r w:rsidR="00247C00" w:rsidRPr="00901766">
        <w:rPr>
          <w:rFonts w:ascii="Times New Roman" w:hAnsi="Times New Roman"/>
          <w:szCs w:val="22"/>
          <w:lang w:val="pl-PL"/>
        </w:rPr>
        <w:t xml:space="preserve">obce </w:t>
      </w:r>
      <w:r w:rsidRPr="00901766">
        <w:rPr>
          <w:rFonts w:ascii="Times New Roman" w:hAnsi="Times New Roman"/>
          <w:szCs w:val="22"/>
          <w:lang w:val="pl-PL"/>
        </w:rPr>
        <w:t>uzyska</w:t>
      </w:r>
      <w:r w:rsidR="00247C00" w:rsidRPr="00901766">
        <w:rPr>
          <w:rFonts w:ascii="Times New Roman" w:hAnsi="Times New Roman"/>
          <w:szCs w:val="22"/>
          <w:lang w:val="pl-PL"/>
        </w:rPr>
        <w:t>nie</w:t>
      </w:r>
      <w:r w:rsidRPr="00901766">
        <w:rPr>
          <w:rFonts w:ascii="Times New Roman" w:hAnsi="Times New Roman"/>
          <w:szCs w:val="22"/>
          <w:lang w:val="pl-PL"/>
        </w:rPr>
        <w:t xml:space="preserve"> wszelki</w:t>
      </w:r>
      <w:r w:rsidR="00247C00" w:rsidRPr="00901766">
        <w:rPr>
          <w:rFonts w:ascii="Times New Roman" w:hAnsi="Times New Roman"/>
          <w:szCs w:val="22"/>
          <w:lang w:val="pl-PL"/>
        </w:rPr>
        <w:t>ch</w:t>
      </w:r>
      <w:r w:rsidRPr="00901766">
        <w:rPr>
          <w:rFonts w:ascii="Times New Roman" w:hAnsi="Times New Roman"/>
          <w:szCs w:val="22"/>
          <w:lang w:val="pl-PL"/>
        </w:rPr>
        <w:t xml:space="preserve"> niezbędn</w:t>
      </w:r>
      <w:r w:rsidR="008D5C8B" w:rsidRPr="00901766">
        <w:rPr>
          <w:rFonts w:ascii="Times New Roman" w:hAnsi="Times New Roman"/>
          <w:szCs w:val="22"/>
          <w:lang w:val="pl-PL"/>
        </w:rPr>
        <w:t>ych</w:t>
      </w:r>
      <w:r w:rsidRPr="00901766">
        <w:rPr>
          <w:rFonts w:ascii="Times New Roman" w:hAnsi="Times New Roman"/>
          <w:szCs w:val="22"/>
          <w:lang w:val="pl-PL"/>
        </w:rPr>
        <w:t xml:space="preserve"> zg</w:t>
      </w:r>
      <w:r w:rsidR="008D5C8B" w:rsidRPr="00901766">
        <w:rPr>
          <w:rFonts w:ascii="Times New Roman" w:hAnsi="Times New Roman"/>
          <w:szCs w:val="22"/>
          <w:lang w:val="pl-PL"/>
        </w:rPr>
        <w:t>ó</w:t>
      </w:r>
      <w:r w:rsidRPr="00901766">
        <w:rPr>
          <w:rFonts w:ascii="Times New Roman" w:hAnsi="Times New Roman"/>
          <w:szCs w:val="22"/>
          <w:lang w:val="pl-PL"/>
        </w:rPr>
        <w:t>d oraz pozwole</w:t>
      </w:r>
      <w:r w:rsidR="008D5C8B" w:rsidRPr="00901766">
        <w:rPr>
          <w:rFonts w:ascii="Times New Roman" w:hAnsi="Times New Roman"/>
          <w:szCs w:val="22"/>
          <w:lang w:val="pl-PL"/>
        </w:rPr>
        <w:t>ń</w:t>
      </w:r>
      <w:r w:rsidRPr="00901766">
        <w:rPr>
          <w:rFonts w:ascii="Times New Roman" w:hAnsi="Times New Roman"/>
          <w:szCs w:val="22"/>
          <w:lang w:val="pl-PL"/>
        </w:rPr>
        <w:t xml:space="preserve"> od ich gwarantów. W innym wypadku przej</w:t>
      </w:r>
      <w:r w:rsidR="008D5C8B" w:rsidRPr="00901766">
        <w:rPr>
          <w:rFonts w:ascii="Times New Roman" w:hAnsi="Times New Roman"/>
          <w:szCs w:val="22"/>
          <w:lang w:val="pl-PL"/>
        </w:rPr>
        <w:t>ęcie</w:t>
      </w:r>
      <w:r w:rsidRPr="00901766">
        <w:rPr>
          <w:rFonts w:ascii="Times New Roman" w:hAnsi="Times New Roman"/>
          <w:szCs w:val="22"/>
          <w:lang w:val="pl-PL"/>
        </w:rPr>
        <w:t xml:space="preserve"> gwarancj</w:t>
      </w:r>
      <w:r w:rsidR="008D5C8B" w:rsidRPr="00901766">
        <w:rPr>
          <w:rFonts w:ascii="Times New Roman" w:hAnsi="Times New Roman"/>
          <w:szCs w:val="22"/>
          <w:lang w:val="pl-PL"/>
        </w:rPr>
        <w:t>i</w:t>
      </w:r>
      <w:r w:rsidRPr="00901766">
        <w:rPr>
          <w:rFonts w:ascii="Times New Roman" w:hAnsi="Times New Roman"/>
          <w:szCs w:val="22"/>
          <w:lang w:val="pl-PL"/>
        </w:rPr>
        <w:t xml:space="preserve"> na urządzenia dostarczone w ramach tych zadań.</w:t>
      </w:r>
    </w:p>
    <w:p w14:paraId="215B1086" w14:textId="77777777" w:rsidR="005A389B" w:rsidRPr="005C570F" w:rsidRDefault="005A389B" w:rsidP="005A389B">
      <w:pPr>
        <w:jc w:val="both"/>
        <w:rPr>
          <w:sz w:val="22"/>
          <w:szCs w:val="22"/>
        </w:rPr>
      </w:pPr>
      <w:r w:rsidRPr="005C570F">
        <w:rPr>
          <w:sz w:val="22"/>
          <w:szCs w:val="22"/>
        </w:rPr>
        <w:t>Wszelkie uzgodnienia odnośnie konfiguracji urządzeń IT oraz adresacji w sieciach LAN/WAN należy uzgodnić z Działem Informatyki Zamawiającego.</w:t>
      </w:r>
    </w:p>
    <w:p w14:paraId="3D9597EE" w14:textId="33787CAF" w:rsidR="005A389B" w:rsidRPr="005C570F" w:rsidRDefault="005A389B" w:rsidP="005A389B">
      <w:pPr>
        <w:jc w:val="both"/>
        <w:rPr>
          <w:sz w:val="22"/>
          <w:szCs w:val="22"/>
        </w:rPr>
      </w:pPr>
      <w:r w:rsidRPr="005C570F">
        <w:rPr>
          <w:sz w:val="22"/>
          <w:szCs w:val="22"/>
        </w:rPr>
        <w:t>Przed przystąpieniem do prac należy zapoznać się i przestrzegać zapisy Instrukcji zarządzania systemem informatycznym oraz polityki</w:t>
      </w:r>
      <w:r w:rsidR="00CA5E39">
        <w:rPr>
          <w:sz w:val="22"/>
          <w:szCs w:val="22"/>
        </w:rPr>
        <w:t xml:space="preserve"> </w:t>
      </w:r>
      <w:r w:rsidRPr="005C570F">
        <w:rPr>
          <w:sz w:val="22"/>
          <w:szCs w:val="22"/>
        </w:rPr>
        <w:t xml:space="preserve">bezpieczeństwa informacji obowiązujących u Zamawiającego. </w:t>
      </w:r>
    </w:p>
    <w:p w14:paraId="2EF26898" w14:textId="77777777" w:rsidR="005A389B" w:rsidRPr="005C570F" w:rsidRDefault="005A389B" w:rsidP="005A389B">
      <w:pPr>
        <w:jc w:val="both"/>
        <w:rPr>
          <w:sz w:val="22"/>
          <w:szCs w:val="22"/>
        </w:rPr>
      </w:pPr>
      <w:r w:rsidRPr="005C570F">
        <w:rPr>
          <w:sz w:val="22"/>
          <w:szCs w:val="22"/>
        </w:rPr>
        <w:t>Realizacja zadań w trybie zdalnym wymaga oddzielnej - pisemnej akceptacji Zamawiającego po określeniu zasad i odpowiedzialności stron oraz zatwierdzeniu przez Zamawiającego proponowanych środków bezpieczeństwa.</w:t>
      </w:r>
    </w:p>
    <w:p w14:paraId="24A34E9C" w14:textId="4BC1ADB7" w:rsidR="005A389B" w:rsidRPr="005C570F" w:rsidRDefault="005A389B" w:rsidP="005A389B">
      <w:pPr>
        <w:pStyle w:val="Default"/>
        <w:spacing w:after="120"/>
        <w:jc w:val="both"/>
        <w:rPr>
          <w:color w:val="auto"/>
          <w:kern w:val="1"/>
          <w:sz w:val="22"/>
          <w:szCs w:val="22"/>
          <w:lang w:eastAsia="ar-SA"/>
        </w:rPr>
      </w:pPr>
      <w:r w:rsidRPr="005C570F">
        <w:rPr>
          <w:color w:val="auto"/>
          <w:kern w:val="1"/>
          <w:sz w:val="22"/>
          <w:szCs w:val="22"/>
          <w:lang w:eastAsia="ar-SA"/>
        </w:rPr>
        <w:t>Wykonawca od momentu przekazania sprzętu i oprogramowania Zamawiające</w:t>
      </w:r>
      <w:r w:rsidR="00A850F1">
        <w:rPr>
          <w:color w:val="auto"/>
          <w:kern w:val="1"/>
          <w:sz w:val="22"/>
          <w:szCs w:val="22"/>
          <w:lang w:eastAsia="ar-SA"/>
        </w:rPr>
        <w:t>mu</w:t>
      </w:r>
      <w:r w:rsidRPr="005C570F">
        <w:rPr>
          <w:color w:val="auto"/>
          <w:kern w:val="1"/>
          <w:sz w:val="22"/>
          <w:szCs w:val="22"/>
          <w:lang w:eastAsia="ar-SA"/>
        </w:rPr>
        <w:t xml:space="preserve"> do czasu zakończenia prac ponosi pełną odpowiedzialność materialną za ich uszkodzenie, zagubienie lub zniszczenie. </w:t>
      </w:r>
    </w:p>
    <w:p w14:paraId="280B83C6" w14:textId="77777777" w:rsidR="005A389B" w:rsidRDefault="005A389B" w:rsidP="005A389B">
      <w:pPr>
        <w:pStyle w:val="Default"/>
        <w:spacing w:after="120"/>
        <w:jc w:val="both"/>
        <w:rPr>
          <w:sz w:val="22"/>
          <w:szCs w:val="22"/>
        </w:rPr>
      </w:pPr>
      <w:r w:rsidRPr="005C570F">
        <w:rPr>
          <w:sz w:val="22"/>
          <w:szCs w:val="22"/>
        </w:rPr>
        <w:t>Wykonawca zobowiązuje się do realizacji prac w sposób zapobiegający utracie danych Zamawiającego oraz przestojów istniejących systemów monitoringu. W przypadku gdy wykonanie danej czynności przez Wykonawcę lub przez Zamawiającego w oparciu o rekomendację Wykonawcy wiąże się z ryzykiem utraty danych, Wykonawca zobowiązany jest poinformować o tym Zamawiającego przed przystąpieniem do wykonania takiej czynności. Wykonawca zobowiązany jest do przeprowadzenia szkoleń użytkowników w stopniu umożliwiającym samodzielną jego obsługę.</w:t>
      </w:r>
    </w:p>
    <w:p w14:paraId="5CCB193F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Drogowe</w:t>
      </w:r>
    </w:p>
    <w:p w14:paraId="76946950" w14:textId="192CEBB3" w:rsidR="005A389B" w:rsidRPr="005C570F" w:rsidRDefault="005A389B" w:rsidP="005A389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1211" w:firstLine="207"/>
        <w:jc w:val="both"/>
        <w:textAlignment w:val="baseline"/>
        <w:rPr>
          <w:sz w:val="22"/>
          <w:szCs w:val="22"/>
        </w:rPr>
      </w:pPr>
      <w:r w:rsidRPr="005C570F">
        <w:rPr>
          <w:sz w:val="22"/>
          <w:szCs w:val="22"/>
        </w:rPr>
        <w:t xml:space="preserve">budowa </w:t>
      </w:r>
      <w:r w:rsidR="000D7ECA">
        <w:rPr>
          <w:sz w:val="22"/>
          <w:szCs w:val="22"/>
        </w:rPr>
        <w:t xml:space="preserve">dojazdu </w:t>
      </w:r>
      <w:r w:rsidRPr="005C570F">
        <w:rPr>
          <w:sz w:val="22"/>
          <w:szCs w:val="22"/>
        </w:rPr>
        <w:t xml:space="preserve">do </w:t>
      </w:r>
      <w:r w:rsidR="000D7ECA">
        <w:rPr>
          <w:sz w:val="22"/>
          <w:szCs w:val="22"/>
        </w:rPr>
        <w:t>jednostki kogeneracyjnej;</w:t>
      </w:r>
    </w:p>
    <w:p w14:paraId="369923B0" w14:textId="77777777" w:rsidR="005A389B" w:rsidRPr="005C570F" w:rsidRDefault="005A389B" w:rsidP="005A389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1211" w:firstLine="207"/>
        <w:jc w:val="both"/>
        <w:textAlignment w:val="baseline"/>
        <w:rPr>
          <w:sz w:val="22"/>
          <w:szCs w:val="22"/>
        </w:rPr>
      </w:pPr>
      <w:r w:rsidRPr="005C570F">
        <w:rPr>
          <w:sz w:val="22"/>
          <w:szCs w:val="22"/>
        </w:rPr>
        <w:lastRenderedPageBreak/>
        <w:t>roboty odtworzeniowe istniejących nawierzchni drogowych.</w:t>
      </w:r>
    </w:p>
    <w:p w14:paraId="565843ED" w14:textId="02B2B31B" w:rsidR="005A389B" w:rsidRPr="005C570F" w:rsidRDefault="00665FF6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0" w:firstLine="0"/>
        <w:jc w:val="both"/>
        <w:textAlignment w:val="baseline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Rozruchy</w:t>
      </w:r>
    </w:p>
    <w:p w14:paraId="1F2B40A2" w14:textId="77777777" w:rsidR="005A389B" w:rsidRPr="005C570F" w:rsidRDefault="005A389B" w:rsidP="005A389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1211" w:firstLine="207"/>
        <w:jc w:val="both"/>
        <w:textAlignment w:val="baseline"/>
        <w:rPr>
          <w:sz w:val="22"/>
          <w:szCs w:val="22"/>
        </w:rPr>
      </w:pPr>
      <w:r w:rsidRPr="005C570F">
        <w:rPr>
          <w:sz w:val="22"/>
          <w:szCs w:val="22"/>
        </w:rPr>
        <w:t>rozruch mechaniczny,</w:t>
      </w:r>
    </w:p>
    <w:p w14:paraId="595B43EB" w14:textId="77777777" w:rsidR="005A389B" w:rsidRPr="00DF0443" w:rsidRDefault="005A389B" w:rsidP="005A389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1211" w:firstLine="207"/>
        <w:jc w:val="both"/>
        <w:textAlignment w:val="baseline"/>
        <w:rPr>
          <w:sz w:val="22"/>
          <w:szCs w:val="22"/>
        </w:rPr>
      </w:pPr>
      <w:r w:rsidRPr="00DF0443">
        <w:rPr>
          <w:sz w:val="22"/>
          <w:szCs w:val="22"/>
        </w:rPr>
        <w:t>rozruch hydrauliczny,</w:t>
      </w:r>
    </w:p>
    <w:p w14:paraId="1D4969A3" w14:textId="150CFB6E" w:rsidR="005A389B" w:rsidRPr="005C570F" w:rsidRDefault="005A389B" w:rsidP="005A389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1211" w:firstLine="207"/>
        <w:jc w:val="both"/>
        <w:textAlignment w:val="baseline"/>
        <w:rPr>
          <w:sz w:val="22"/>
          <w:szCs w:val="22"/>
        </w:rPr>
      </w:pPr>
      <w:r w:rsidRPr="005C570F">
        <w:rPr>
          <w:sz w:val="22"/>
          <w:szCs w:val="22"/>
        </w:rPr>
        <w:t>rozruch technologiczny</w:t>
      </w:r>
      <w:r w:rsidR="00144823">
        <w:rPr>
          <w:sz w:val="22"/>
          <w:szCs w:val="22"/>
        </w:rPr>
        <w:t xml:space="preserve"> (72 godzinny)</w:t>
      </w:r>
      <w:r w:rsidRPr="005C570F">
        <w:rPr>
          <w:sz w:val="22"/>
          <w:szCs w:val="22"/>
        </w:rPr>
        <w:t>,</w:t>
      </w:r>
    </w:p>
    <w:p w14:paraId="03EB1933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Roboty ziemne w zakresie obiektów liniowych i kubaturowych,</w:t>
      </w:r>
    </w:p>
    <w:p w14:paraId="6D326881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Opracowanie planu bezpieczeństwa i ochrony zdrowia (bioz),</w:t>
      </w:r>
    </w:p>
    <w:p w14:paraId="41E018CB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Roboty geodezyjne,</w:t>
      </w:r>
    </w:p>
    <w:p w14:paraId="4D240E5E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Wykonanie harmonogramu rzeczowo-finansowego,</w:t>
      </w:r>
    </w:p>
    <w:p w14:paraId="7B481831" w14:textId="7CB9005A" w:rsidR="005A389B" w:rsidRPr="00DF0443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DF0443">
        <w:rPr>
          <w:b/>
          <w:color w:val="000000" w:themeColor="text1"/>
          <w:sz w:val="22"/>
          <w:szCs w:val="22"/>
        </w:rPr>
        <w:t xml:space="preserve">Aktualizacja </w:t>
      </w:r>
      <w:r w:rsidR="00DF0443">
        <w:rPr>
          <w:b/>
          <w:color w:val="000000" w:themeColor="text1"/>
          <w:sz w:val="22"/>
          <w:szCs w:val="22"/>
        </w:rPr>
        <w:t>lub</w:t>
      </w:r>
      <w:r w:rsidRPr="00DF0443">
        <w:rPr>
          <w:b/>
          <w:color w:val="000000" w:themeColor="text1"/>
          <w:sz w:val="22"/>
          <w:szCs w:val="22"/>
        </w:rPr>
        <w:t xml:space="preserve"> sporządzenie</w:t>
      </w:r>
      <w:r w:rsidR="00747358" w:rsidRPr="00DF0443">
        <w:rPr>
          <w:b/>
          <w:color w:val="000000" w:themeColor="text1"/>
          <w:sz w:val="22"/>
          <w:szCs w:val="22"/>
        </w:rPr>
        <w:t xml:space="preserve"> I</w:t>
      </w:r>
      <w:r w:rsidR="00DF0443">
        <w:rPr>
          <w:b/>
          <w:color w:val="000000" w:themeColor="text1"/>
          <w:sz w:val="22"/>
          <w:szCs w:val="22"/>
        </w:rPr>
        <w:t>nstrukcji bezpieczeństwa pożarowego</w:t>
      </w:r>
      <w:r w:rsidRPr="00DF0443">
        <w:rPr>
          <w:b/>
          <w:color w:val="000000" w:themeColor="text1"/>
          <w:sz w:val="22"/>
          <w:szCs w:val="22"/>
        </w:rPr>
        <w:t xml:space="preserve">, </w:t>
      </w:r>
      <w:r w:rsidR="00265568" w:rsidRPr="00DF0443">
        <w:rPr>
          <w:b/>
          <w:color w:val="000000" w:themeColor="text1"/>
          <w:sz w:val="22"/>
          <w:szCs w:val="22"/>
        </w:rPr>
        <w:t xml:space="preserve">Instrukcji </w:t>
      </w:r>
      <w:r w:rsidR="000D7ECA" w:rsidRPr="00DF0443">
        <w:rPr>
          <w:b/>
          <w:color w:val="000000" w:themeColor="text1"/>
          <w:sz w:val="22"/>
          <w:szCs w:val="22"/>
        </w:rPr>
        <w:t xml:space="preserve">BHP, </w:t>
      </w:r>
      <w:r w:rsidR="00265568" w:rsidRPr="00DF0443">
        <w:rPr>
          <w:b/>
          <w:color w:val="000000" w:themeColor="text1"/>
          <w:sz w:val="22"/>
          <w:szCs w:val="22"/>
        </w:rPr>
        <w:t xml:space="preserve">Instrukcji </w:t>
      </w:r>
      <w:r w:rsidR="00747358" w:rsidRPr="00DF0443">
        <w:rPr>
          <w:b/>
          <w:color w:val="000000" w:themeColor="text1"/>
          <w:sz w:val="22"/>
          <w:szCs w:val="22"/>
        </w:rPr>
        <w:t xml:space="preserve">technologicznej oczyszczalni ścieków, </w:t>
      </w:r>
      <w:r w:rsidR="00265568" w:rsidRPr="00DF0443">
        <w:rPr>
          <w:b/>
          <w:color w:val="000000" w:themeColor="text1"/>
          <w:sz w:val="22"/>
          <w:szCs w:val="22"/>
        </w:rPr>
        <w:t>Instrukcji ruchu i eksploatacji urządzeń, sieci i instalacji odbiorczych</w:t>
      </w:r>
      <w:r w:rsidR="00BE5751">
        <w:rPr>
          <w:b/>
          <w:color w:val="000000" w:themeColor="text1"/>
          <w:sz w:val="22"/>
          <w:szCs w:val="22"/>
        </w:rPr>
        <w:t xml:space="preserve"> </w:t>
      </w:r>
      <w:r w:rsidR="00BE5751" w:rsidRPr="00BE5751">
        <w:rPr>
          <w:b/>
          <w:color w:val="000000" w:themeColor="text1"/>
          <w:sz w:val="22"/>
          <w:szCs w:val="22"/>
        </w:rPr>
        <w:t>wraz z uzgodnieniem z OSD</w:t>
      </w:r>
      <w:r w:rsidR="00DF0443">
        <w:rPr>
          <w:b/>
          <w:color w:val="000000" w:themeColor="text1"/>
          <w:sz w:val="22"/>
          <w:szCs w:val="22"/>
        </w:rPr>
        <w:t>,</w:t>
      </w:r>
      <w:r w:rsidR="00265568" w:rsidRPr="00DF0443">
        <w:rPr>
          <w:b/>
          <w:color w:val="000000" w:themeColor="text1"/>
          <w:sz w:val="22"/>
          <w:szCs w:val="22"/>
        </w:rPr>
        <w:t xml:space="preserve"> D</w:t>
      </w:r>
      <w:r w:rsidRPr="00DF0443">
        <w:rPr>
          <w:b/>
          <w:color w:val="000000" w:themeColor="text1"/>
          <w:sz w:val="22"/>
          <w:szCs w:val="22"/>
        </w:rPr>
        <w:t>okument</w:t>
      </w:r>
      <w:r w:rsidR="00747358" w:rsidRPr="00DF0443">
        <w:rPr>
          <w:b/>
          <w:color w:val="000000" w:themeColor="text1"/>
          <w:sz w:val="22"/>
          <w:szCs w:val="22"/>
        </w:rPr>
        <w:t>u</w:t>
      </w:r>
      <w:r w:rsidRPr="00DF0443">
        <w:rPr>
          <w:b/>
          <w:color w:val="000000" w:themeColor="text1"/>
          <w:sz w:val="22"/>
          <w:szCs w:val="22"/>
        </w:rPr>
        <w:t xml:space="preserve"> zabezp</w:t>
      </w:r>
      <w:r w:rsidR="00945C55" w:rsidRPr="00DF0443">
        <w:rPr>
          <w:b/>
          <w:color w:val="000000" w:themeColor="text1"/>
          <w:sz w:val="22"/>
          <w:szCs w:val="22"/>
        </w:rPr>
        <w:t>ieczenia przed wybuchem.</w:t>
      </w:r>
    </w:p>
    <w:p w14:paraId="17D50D29" w14:textId="6E91422D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Trwałe oznakowanie obiektów, instalacji, rurociągów, armatury, itp.</w:t>
      </w:r>
    </w:p>
    <w:p w14:paraId="63668D06" w14:textId="77777777" w:rsidR="005A389B" w:rsidRPr="005C570F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Roboty odtworzeniowe terenów zielonych i ciągów komunikacyjnych,</w:t>
      </w:r>
    </w:p>
    <w:p w14:paraId="703D02AF" w14:textId="77777777" w:rsidR="005A389B" w:rsidRDefault="005A389B" w:rsidP="005A389B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 w:rsidRPr="005C570F">
        <w:rPr>
          <w:b/>
          <w:color w:val="000000" w:themeColor="text1"/>
          <w:sz w:val="22"/>
          <w:szCs w:val="22"/>
        </w:rPr>
        <w:t>Odbiory końcowe</w:t>
      </w:r>
    </w:p>
    <w:p w14:paraId="1525900B" w14:textId="1C3A1DC1" w:rsidR="005B0AAF" w:rsidRPr="005C570F" w:rsidRDefault="005B0AAF" w:rsidP="005B0AAF">
      <w:pPr>
        <w:pStyle w:val="Akapitzlist"/>
        <w:numPr>
          <w:ilvl w:val="4"/>
          <w:numId w:val="2"/>
        </w:numPr>
        <w:suppressAutoHyphens/>
        <w:autoSpaceDE w:val="0"/>
        <w:autoSpaceDN w:val="0"/>
        <w:adjustRightInd w:val="0"/>
        <w:ind w:left="709" w:hanging="709"/>
        <w:jc w:val="both"/>
        <w:textAlignment w:val="baseline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Próby/testy</w:t>
      </w:r>
    </w:p>
    <w:p w14:paraId="389609B5" w14:textId="0FCADA1F" w:rsidR="009A5436" w:rsidRPr="009A5436" w:rsidRDefault="009A5436" w:rsidP="009A5436">
      <w:pPr>
        <w:pStyle w:val="Akapitzlist"/>
        <w:numPr>
          <w:ilvl w:val="4"/>
          <w:numId w:val="2"/>
        </w:numPr>
        <w:spacing w:after="120" w:line="276" w:lineRule="auto"/>
        <w:ind w:left="709" w:hanging="709"/>
        <w:jc w:val="both"/>
        <w:rPr>
          <w:b/>
          <w:sz w:val="22"/>
          <w:szCs w:val="22"/>
        </w:rPr>
      </w:pPr>
      <w:r w:rsidRPr="009A5436">
        <w:rPr>
          <w:b/>
          <w:sz w:val="22"/>
          <w:szCs w:val="22"/>
        </w:rPr>
        <w:t xml:space="preserve">Zamawiający poniżej określa parametry równoważności </w:t>
      </w:r>
      <w:r w:rsidRPr="009A5436">
        <w:rPr>
          <w:b/>
          <w:color w:val="000000" w:themeColor="text1"/>
          <w:sz w:val="22"/>
          <w:szCs w:val="22"/>
        </w:rPr>
        <w:t>dla urządzeń, które weryfikowane będą na</w:t>
      </w:r>
      <w:r w:rsidRPr="009A5436">
        <w:rPr>
          <w:b/>
          <w:sz w:val="22"/>
          <w:szCs w:val="22"/>
        </w:rPr>
        <w:t xml:space="preserve"> podstawie kart technicznych załączonych do oferty Wykonawcy. Urządzenia zostaną uznane za równoważne w przypadku spełnienia parametrów:</w:t>
      </w:r>
    </w:p>
    <w:p w14:paraId="6542FC2E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  <w:r w:rsidRPr="0041141F">
        <w:rPr>
          <w:b/>
          <w:bCs/>
          <w:sz w:val="22"/>
          <w:szCs w:val="22"/>
        </w:rPr>
        <w:t>AGREGAT</w:t>
      </w:r>
    </w:p>
    <w:p w14:paraId="55D15018" w14:textId="5CB22CB6" w:rsidR="0041141F" w:rsidRPr="006C3A83" w:rsidRDefault="006C3A83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</w:r>
      <w:r w:rsidR="0041141F" w:rsidRPr="006C3A83">
        <w:rPr>
          <w:bCs/>
          <w:sz w:val="22"/>
          <w:szCs w:val="22"/>
        </w:rPr>
        <w:t>posiada sto</w:t>
      </w:r>
      <w:r w:rsidR="00A850F1">
        <w:rPr>
          <w:bCs/>
          <w:sz w:val="22"/>
          <w:szCs w:val="22"/>
        </w:rPr>
        <w:t>sowne certyfikaty wydane przez</w:t>
      </w:r>
      <w:r w:rsidR="0041141F" w:rsidRPr="006C3A83">
        <w:rPr>
          <w:bCs/>
          <w:sz w:val="22"/>
          <w:szCs w:val="22"/>
        </w:rPr>
        <w:t xml:space="preserve"> jednostkę notyfikująca potwierdzające zgodność jednostki kogeneracyjnej z:</w:t>
      </w:r>
    </w:p>
    <w:p w14:paraId="59FA8B53" w14:textId="24FE96F4" w:rsidR="0041141F" w:rsidRPr="006C3A83" w:rsidRDefault="00A850F1" w:rsidP="006C3A83">
      <w:pPr>
        <w:spacing w:line="276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Dyrektywą</w:t>
      </w:r>
      <w:r w:rsidR="0041141F" w:rsidRPr="006C3A83">
        <w:rPr>
          <w:bCs/>
          <w:sz w:val="22"/>
          <w:szCs w:val="22"/>
        </w:rPr>
        <w:t xml:space="preserve"> kompatybilność elektromagnetyczna,</w:t>
      </w:r>
    </w:p>
    <w:p w14:paraId="55435D3E" w14:textId="77777777" w:rsidR="00677AA1" w:rsidRDefault="0041141F" w:rsidP="00677AA1">
      <w:pPr>
        <w:spacing w:line="276" w:lineRule="auto"/>
        <w:ind w:left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Dyrektyw</w:t>
      </w:r>
      <w:r w:rsidR="00A850F1">
        <w:rPr>
          <w:bCs/>
          <w:sz w:val="22"/>
          <w:szCs w:val="22"/>
        </w:rPr>
        <w:t>ą</w:t>
      </w:r>
      <w:r w:rsidRPr="006C3A83">
        <w:rPr>
          <w:bCs/>
          <w:sz w:val="22"/>
          <w:szCs w:val="22"/>
        </w:rPr>
        <w:t xml:space="preserve"> niskonapięciowa,</w:t>
      </w:r>
    </w:p>
    <w:p w14:paraId="217412FF" w14:textId="1AADEFC4" w:rsidR="00AE3D9F" w:rsidRPr="00901766" w:rsidRDefault="00677AA1" w:rsidP="00677AA1">
      <w:pPr>
        <w:spacing w:line="276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41141F" w:rsidRPr="006C3A83">
        <w:rPr>
          <w:bCs/>
          <w:sz w:val="22"/>
          <w:szCs w:val="22"/>
        </w:rPr>
        <w:t xml:space="preserve">Certyfikat </w:t>
      </w:r>
      <w:proofErr w:type="spellStart"/>
      <w:r w:rsidR="0041141F" w:rsidRPr="006C3A83">
        <w:rPr>
          <w:bCs/>
          <w:sz w:val="22"/>
          <w:szCs w:val="22"/>
        </w:rPr>
        <w:t>NCRfG</w:t>
      </w:r>
      <w:proofErr w:type="spellEnd"/>
      <w:r w:rsidR="0041141F" w:rsidRPr="006C3A83">
        <w:rPr>
          <w:bCs/>
          <w:sz w:val="22"/>
          <w:szCs w:val="22"/>
        </w:rPr>
        <w:t xml:space="preserve"> (wymagany przez </w:t>
      </w:r>
      <w:r w:rsidR="0041141F" w:rsidRPr="00901766">
        <w:rPr>
          <w:bCs/>
          <w:sz w:val="22"/>
          <w:szCs w:val="22"/>
        </w:rPr>
        <w:t>zakłady energetyczne)</w:t>
      </w:r>
      <w:r w:rsidR="00AE3D9F" w:rsidRPr="00901766">
        <w:rPr>
          <w:sz w:val="22"/>
          <w:szCs w:val="22"/>
        </w:rPr>
        <w:t xml:space="preserve"> wy</w:t>
      </w:r>
      <w:r w:rsidR="008D5C8B" w:rsidRPr="00901766">
        <w:rPr>
          <w:sz w:val="22"/>
          <w:szCs w:val="22"/>
        </w:rPr>
        <w:t>stawiony przez</w:t>
      </w:r>
      <w:r w:rsidR="00AE3D9F" w:rsidRPr="00901766">
        <w:rPr>
          <w:sz w:val="22"/>
          <w:szCs w:val="22"/>
        </w:rPr>
        <w:t xml:space="preserve"> krajowy</w:t>
      </w:r>
      <w:r w:rsidR="008D5C8B" w:rsidRPr="00901766">
        <w:rPr>
          <w:sz w:val="22"/>
          <w:szCs w:val="22"/>
        </w:rPr>
        <w:t xml:space="preserve"> </w:t>
      </w:r>
      <w:r w:rsidR="00AE3D9F" w:rsidRPr="00901766">
        <w:rPr>
          <w:sz w:val="22"/>
          <w:szCs w:val="22"/>
        </w:rPr>
        <w:t>(polski) instytu</w:t>
      </w:r>
      <w:r w:rsidR="008D5C8B" w:rsidRPr="00901766">
        <w:rPr>
          <w:sz w:val="22"/>
          <w:szCs w:val="22"/>
        </w:rPr>
        <w:t>t</w:t>
      </w:r>
      <w:r w:rsidR="00AE3D9F" w:rsidRPr="00901766">
        <w:rPr>
          <w:sz w:val="22"/>
          <w:szCs w:val="22"/>
        </w:rPr>
        <w:t xml:space="preserve"> badawczy wystawion</w:t>
      </w:r>
      <w:r w:rsidR="008D5C8B" w:rsidRPr="00901766">
        <w:rPr>
          <w:sz w:val="22"/>
          <w:szCs w:val="22"/>
        </w:rPr>
        <w:t>y</w:t>
      </w:r>
      <w:r w:rsidR="00AE3D9F" w:rsidRPr="00901766">
        <w:rPr>
          <w:sz w:val="22"/>
          <w:szCs w:val="22"/>
        </w:rPr>
        <w:t xml:space="preserve"> na producenta jednostki</w:t>
      </w:r>
      <w:r w:rsidRPr="00901766">
        <w:rPr>
          <w:sz w:val="22"/>
          <w:szCs w:val="22"/>
        </w:rPr>
        <w:t>,</w:t>
      </w:r>
    </w:p>
    <w:p w14:paraId="1FCF2845" w14:textId="7F2F12BF" w:rsidR="0041141F" w:rsidRPr="00901766" w:rsidRDefault="006C3A83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901766">
        <w:rPr>
          <w:bCs/>
          <w:sz w:val="22"/>
          <w:szCs w:val="22"/>
        </w:rPr>
        <w:t>•</w:t>
      </w:r>
      <w:r w:rsidRPr="00901766">
        <w:rPr>
          <w:bCs/>
          <w:sz w:val="22"/>
          <w:szCs w:val="22"/>
        </w:rPr>
        <w:tab/>
      </w:r>
      <w:r w:rsidR="0041141F" w:rsidRPr="00901766">
        <w:rPr>
          <w:bCs/>
          <w:sz w:val="22"/>
          <w:szCs w:val="22"/>
        </w:rPr>
        <w:t>silnik V8, turbodoładowany z zapłonem iskrowym. Praca silnika w pełni zautomatyzowana i sterowana  za pomocą systemu sterowania zespołu;</w:t>
      </w:r>
    </w:p>
    <w:p w14:paraId="69489C5B" w14:textId="1E5AD824" w:rsidR="0041141F" w:rsidRPr="00901766" w:rsidRDefault="006C3A83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901766">
        <w:rPr>
          <w:bCs/>
          <w:sz w:val="22"/>
          <w:szCs w:val="22"/>
        </w:rPr>
        <w:t>•</w:t>
      </w:r>
      <w:r w:rsidRPr="00901766">
        <w:rPr>
          <w:bCs/>
          <w:sz w:val="22"/>
          <w:szCs w:val="22"/>
        </w:rPr>
        <w:tab/>
      </w:r>
      <w:r w:rsidR="0041141F" w:rsidRPr="00901766">
        <w:rPr>
          <w:bCs/>
          <w:sz w:val="22"/>
          <w:szCs w:val="22"/>
        </w:rPr>
        <w:t>moc elektryczna min. 354 kW;</w:t>
      </w:r>
    </w:p>
    <w:p w14:paraId="21A33F3A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901766">
        <w:rPr>
          <w:bCs/>
          <w:sz w:val="22"/>
          <w:szCs w:val="22"/>
        </w:rPr>
        <w:t>•</w:t>
      </w:r>
      <w:r w:rsidRPr="00901766">
        <w:rPr>
          <w:bCs/>
          <w:sz w:val="22"/>
          <w:szCs w:val="22"/>
        </w:rPr>
        <w:tab/>
        <w:t>moc cieplna min. 370 kW;</w:t>
      </w:r>
    </w:p>
    <w:p w14:paraId="0EBD6AB1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sprawność elektryczna przy wydajności 100% min. 40%;</w:t>
      </w:r>
    </w:p>
    <w:p w14:paraId="13B2BAE1" w14:textId="13EA75BD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sprawność cieplna przy wydajności 100%</w:t>
      </w:r>
      <w:r w:rsidR="00A850F1">
        <w:rPr>
          <w:bCs/>
          <w:sz w:val="22"/>
          <w:szCs w:val="22"/>
        </w:rPr>
        <w:t xml:space="preserve"> </w:t>
      </w:r>
      <w:r w:rsidRPr="006C3A83">
        <w:rPr>
          <w:bCs/>
          <w:sz w:val="22"/>
          <w:szCs w:val="22"/>
        </w:rPr>
        <w:t>min. 45%;</w:t>
      </w:r>
    </w:p>
    <w:p w14:paraId="4AB81484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sprawność całkowita przy wydajności 100% min. 85%;</w:t>
      </w:r>
    </w:p>
    <w:p w14:paraId="12F7F06F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możliwość pracy z obciążeniem od 50% wydajności nominalnej i do 100% wartości nominalnej;</w:t>
      </w:r>
    </w:p>
    <w:p w14:paraId="4CCF9C0E" w14:textId="1E22A4C9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generator bez szczotkowy, synchroniczny, przeznaczony do pracy równoległej z siecią, klasa izolacji min. H, stopień ochrony IP23, sprawność przy obciążeniu 100% dla cos fi=1 min. 95,5%;</w:t>
      </w:r>
    </w:p>
    <w:p w14:paraId="53A294BC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napięcie 400/230V;</w:t>
      </w:r>
    </w:p>
    <w:p w14:paraId="1F30CD5C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układ olejowy  jednostki kogeneracyjnej wyposażony w zewnętrzny olejowy zbiornik uzupełniający, stanowiący przedłużenie misy silnika</w:t>
      </w:r>
    </w:p>
    <w:p w14:paraId="2E430CD4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 xml:space="preserve">poziom hałasu w odległości 10 m od jednostki max. 60 </w:t>
      </w:r>
      <w:proofErr w:type="spellStart"/>
      <w:r w:rsidRPr="006C3A83">
        <w:rPr>
          <w:bCs/>
          <w:sz w:val="22"/>
          <w:szCs w:val="22"/>
        </w:rPr>
        <w:t>dB</w:t>
      </w:r>
      <w:proofErr w:type="spellEnd"/>
      <w:r w:rsidRPr="006C3A83">
        <w:rPr>
          <w:bCs/>
          <w:sz w:val="22"/>
          <w:szCs w:val="22"/>
        </w:rPr>
        <w:t>(A);</w:t>
      </w:r>
    </w:p>
    <w:p w14:paraId="5D4FE2A7" w14:textId="24B39599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dopuszczalne wartości emisji związków szkodliwych w spalinach</w:t>
      </w:r>
      <w:r w:rsidR="00A850F1">
        <w:rPr>
          <w:bCs/>
          <w:sz w:val="22"/>
          <w:szCs w:val="22"/>
        </w:rPr>
        <w:t xml:space="preserve"> w</w:t>
      </w:r>
      <w:r w:rsidRPr="006C3A83">
        <w:rPr>
          <w:bCs/>
          <w:sz w:val="22"/>
          <w:szCs w:val="22"/>
        </w:rPr>
        <w:t xml:space="preserve"> odniesieniu do 5% O</w:t>
      </w:r>
      <w:r w:rsidRPr="00A850F1">
        <w:rPr>
          <w:bCs/>
          <w:sz w:val="22"/>
          <w:szCs w:val="22"/>
          <w:vertAlign w:val="subscript"/>
        </w:rPr>
        <w:t>2</w:t>
      </w:r>
      <w:r w:rsidRPr="006C3A83">
        <w:rPr>
          <w:bCs/>
          <w:sz w:val="22"/>
          <w:szCs w:val="22"/>
        </w:rPr>
        <w:t xml:space="preserve"> w jednostce objętości spalin:</w:t>
      </w:r>
    </w:p>
    <w:p w14:paraId="5CB6FF00" w14:textId="77777777" w:rsidR="0041141F" w:rsidRPr="006C3A83" w:rsidRDefault="0041141F" w:rsidP="006C3A83">
      <w:pPr>
        <w:spacing w:line="276" w:lineRule="auto"/>
        <w:ind w:left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 xml:space="preserve">- </w:t>
      </w:r>
      <w:proofErr w:type="spellStart"/>
      <w:r w:rsidRPr="006C3A83">
        <w:rPr>
          <w:bCs/>
          <w:sz w:val="22"/>
          <w:szCs w:val="22"/>
        </w:rPr>
        <w:t>NOx</w:t>
      </w:r>
      <w:proofErr w:type="spellEnd"/>
      <w:r w:rsidRPr="006C3A83">
        <w:rPr>
          <w:bCs/>
          <w:sz w:val="22"/>
          <w:szCs w:val="22"/>
        </w:rPr>
        <w:t>&lt;500 mg/Nm</w:t>
      </w:r>
      <w:r w:rsidRPr="00A850F1">
        <w:rPr>
          <w:bCs/>
          <w:sz w:val="22"/>
          <w:szCs w:val="22"/>
          <w:vertAlign w:val="superscript"/>
        </w:rPr>
        <w:t>3</w:t>
      </w:r>
      <w:r w:rsidRPr="006C3A83">
        <w:rPr>
          <w:bCs/>
          <w:sz w:val="22"/>
          <w:szCs w:val="22"/>
        </w:rPr>
        <w:t>;</w:t>
      </w:r>
    </w:p>
    <w:p w14:paraId="73619723" w14:textId="77777777" w:rsidR="0041141F" w:rsidRPr="006C3A83" w:rsidRDefault="0041141F" w:rsidP="006C3A83">
      <w:pPr>
        <w:spacing w:line="276" w:lineRule="auto"/>
        <w:ind w:left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CO&lt;650 mg/Nm</w:t>
      </w:r>
      <w:r w:rsidRPr="00A850F1">
        <w:rPr>
          <w:bCs/>
          <w:sz w:val="22"/>
          <w:szCs w:val="22"/>
          <w:vertAlign w:val="superscript"/>
        </w:rPr>
        <w:t>3</w:t>
      </w:r>
      <w:r w:rsidRPr="006C3A83">
        <w:rPr>
          <w:bCs/>
          <w:sz w:val="22"/>
          <w:szCs w:val="22"/>
        </w:rPr>
        <w:t>;</w:t>
      </w:r>
    </w:p>
    <w:p w14:paraId="01F00863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roczna dyspozycyjność jednostki wytwórczej min. 8 000 h;</w:t>
      </w:r>
    </w:p>
    <w:p w14:paraId="707E7C61" w14:textId="77777777" w:rsidR="0041141F" w:rsidRPr="006C3A83" w:rsidRDefault="0041141F" w:rsidP="006C3A83">
      <w:p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 xml:space="preserve">wymagany okres pracy do remontu generalnego min. 45 000 </w:t>
      </w:r>
      <w:proofErr w:type="spellStart"/>
      <w:r w:rsidRPr="006C3A83">
        <w:rPr>
          <w:bCs/>
          <w:sz w:val="22"/>
          <w:szCs w:val="22"/>
        </w:rPr>
        <w:t>mtg</w:t>
      </w:r>
      <w:proofErr w:type="spellEnd"/>
      <w:r w:rsidRPr="006C3A83">
        <w:rPr>
          <w:bCs/>
          <w:sz w:val="22"/>
          <w:szCs w:val="22"/>
        </w:rPr>
        <w:t>.</w:t>
      </w:r>
    </w:p>
    <w:p w14:paraId="3F767AD8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</w:p>
    <w:p w14:paraId="3F5386B6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  <w:r w:rsidRPr="0041141F">
        <w:rPr>
          <w:b/>
          <w:bCs/>
          <w:sz w:val="22"/>
          <w:szCs w:val="22"/>
        </w:rPr>
        <w:t>DMUCHAWA</w:t>
      </w:r>
    </w:p>
    <w:p w14:paraId="0263D095" w14:textId="52B808D6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lastRenderedPageBreak/>
        <w:t>•</w:t>
      </w:r>
      <w:r w:rsidRPr="006C3A83">
        <w:rPr>
          <w:bCs/>
          <w:sz w:val="22"/>
          <w:szCs w:val="22"/>
        </w:rPr>
        <w:tab/>
        <w:t>wydajność dmuchawy min. 350 m3/h z możliwością</w:t>
      </w:r>
      <w:r w:rsidR="00A850F1">
        <w:rPr>
          <w:bCs/>
          <w:sz w:val="22"/>
          <w:szCs w:val="22"/>
        </w:rPr>
        <w:t xml:space="preserve"> regulacji zakresu</w:t>
      </w:r>
      <w:r w:rsidRPr="006C3A83">
        <w:rPr>
          <w:bCs/>
          <w:sz w:val="22"/>
          <w:szCs w:val="22"/>
        </w:rPr>
        <w:t xml:space="preserve"> pracy 30-100%;</w:t>
      </w:r>
    </w:p>
    <w:p w14:paraId="4A459D26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ciśnienie na wejściu 3-4 kPa;</w:t>
      </w:r>
    </w:p>
    <w:p w14:paraId="6BAA9D69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 xml:space="preserve">wymagany spręż min. 80 </w:t>
      </w:r>
      <w:proofErr w:type="spellStart"/>
      <w:r w:rsidRPr="006C3A83">
        <w:rPr>
          <w:bCs/>
          <w:sz w:val="22"/>
          <w:szCs w:val="22"/>
        </w:rPr>
        <w:t>mbar</w:t>
      </w:r>
      <w:proofErr w:type="spellEnd"/>
      <w:r w:rsidRPr="006C3A83">
        <w:rPr>
          <w:bCs/>
          <w:sz w:val="22"/>
          <w:szCs w:val="22"/>
        </w:rPr>
        <w:t>;</w:t>
      </w:r>
    </w:p>
    <w:p w14:paraId="0B65B77D" w14:textId="56C15340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</w:r>
      <w:proofErr w:type="spellStart"/>
      <w:r w:rsidRPr="006C3A83">
        <w:rPr>
          <w:bCs/>
          <w:sz w:val="22"/>
          <w:szCs w:val="22"/>
        </w:rPr>
        <w:t>bocznokanałowa</w:t>
      </w:r>
      <w:proofErr w:type="spellEnd"/>
      <w:r w:rsidRPr="006C3A83">
        <w:rPr>
          <w:bCs/>
          <w:sz w:val="22"/>
          <w:szCs w:val="22"/>
        </w:rPr>
        <w:t xml:space="preserve"> w wersji kompaktowej przeciwwybuchowej, stanowiąc</w:t>
      </w:r>
      <w:r w:rsidR="00A850F1">
        <w:rPr>
          <w:bCs/>
          <w:sz w:val="22"/>
          <w:szCs w:val="22"/>
        </w:rPr>
        <w:t>a</w:t>
      </w:r>
      <w:r w:rsidRPr="006C3A83">
        <w:rPr>
          <w:bCs/>
          <w:sz w:val="22"/>
          <w:szCs w:val="22"/>
        </w:rPr>
        <w:t xml:space="preserve"> monolit wraz z silnikiem ATEX CE II 2G Ex-d IIB T3 strefa 1 silnik 230/400V – IP 55 (B3);</w:t>
      </w:r>
    </w:p>
    <w:p w14:paraId="583CF114" w14:textId="354F951F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korpus dmuchawy - wersja gazoszczelna wykonana ze stopu aluminium, wykonanie pionowe, podwójne uszczelnienie wargowe na wale silnika – łożyska odseparowane od komory sprężania, silikonowe uszczelnienie pomiędzy pokrywą a obudową maszyny;</w:t>
      </w:r>
    </w:p>
    <w:p w14:paraId="34F96EB9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 xml:space="preserve">kolana wlotowe i wylotowe zakończone </w:t>
      </w:r>
      <w:proofErr w:type="spellStart"/>
      <w:r w:rsidRPr="006C3A83">
        <w:rPr>
          <w:bCs/>
          <w:sz w:val="22"/>
          <w:szCs w:val="22"/>
        </w:rPr>
        <w:t>flanszami</w:t>
      </w:r>
      <w:proofErr w:type="spellEnd"/>
      <w:r w:rsidRPr="006C3A83">
        <w:rPr>
          <w:bCs/>
          <w:sz w:val="22"/>
          <w:szCs w:val="22"/>
        </w:rPr>
        <w:t xml:space="preserve"> wykonane ze stopu aluminium;</w:t>
      </w:r>
    </w:p>
    <w:p w14:paraId="60197C9B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złącze elastyczne wlotowe oraz wylotowe;</w:t>
      </w:r>
    </w:p>
    <w:p w14:paraId="4CCE3880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filtr gazowy wlotowy z korpusem wykonanym ze stopu aluminium;</w:t>
      </w:r>
    </w:p>
    <w:p w14:paraId="1E5A5973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zawór ręczny do spustu kondensatu min. AISI 304;</w:t>
      </w:r>
    </w:p>
    <w:p w14:paraId="0B26472E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gumowe stopy (podkładki) antywibracyjne.</w:t>
      </w:r>
    </w:p>
    <w:p w14:paraId="56855E3E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</w:p>
    <w:p w14:paraId="557D42A5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  <w:r w:rsidRPr="0041141F">
        <w:rPr>
          <w:b/>
          <w:bCs/>
          <w:sz w:val="22"/>
          <w:szCs w:val="22"/>
        </w:rPr>
        <w:t>ANALIZATOR BIOGAZU</w:t>
      </w:r>
    </w:p>
    <w:p w14:paraId="417290C7" w14:textId="220820B1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pomiar min. 4 składników biogazu</w:t>
      </w:r>
      <w:r w:rsidR="00A850F1">
        <w:rPr>
          <w:bCs/>
          <w:sz w:val="22"/>
          <w:szCs w:val="22"/>
        </w:rPr>
        <w:t>,</w:t>
      </w:r>
      <w:r w:rsidR="00A850F1" w:rsidRPr="00A850F1">
        <w:rPr>
          <w:bCs/>
          <w:sz w:val="22"/>
          <w:szCs w:val="22"/>
        </w:rPr>
        <w:t xml:space="preserve"> </w:t>
      </w:r>
      <w:r w:rsidR="00A850F1" w:rsidRPr="006C3A83">
        <w:rPr>
          <w:bCs/>
          <w:sz w:val="22"/>
          <w:szCs w:val="22"/>
        </w:rPr>
        <w:t>zakres pomiarowy metan: 0-100% V/V, siarkowodór: 0-1000 ppm</w:t>
      </w:r>
      <w:r w:rsidR="00A850F1">
        <w:rPr>
          <w:bCs/>
          <w:sz w:val="22"/>
          <w:szCs w:val="22"/>
        </w:rPr>
        <w:t xml:space="preserve">, </w:t>
      </w:r>
      <w:r w:rsidR="00A850F1" w:rsidRPr="00DF0443">
        <w:rPr>
          <w:bCs/>
          <w:sz w:val="22"/>
          <w:szCs w:val="22"/>
        </w:rPr>
        <w:t>tlen 0-100% V/V</w:t>
      </w:r>
      <w:r w:rsidR="00A850F1">
        <w:rPr>
          <w:bCs/>
          <w:sz w:val="22"/>
          <w:szCs w:val="22"/>
        </w:rPr>
        <w:t>, jeden port wolny</w:t>
      </w:r>
      <w:r w:rsidRPr="006C3A83">
        <w:rPr>
          <w:bCs/>
          <w:sz w:val="22"/>
          <w:szCs w:val="22"/>
        </w:rPr>
        <w:t>;</w:t>
      </w:r>
    </w:p>
    <w:p w14:paraId="6328FE27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osuszacz próbki analizowanego biogazu;</w:t>
      </w:r>
    </w:p>
    <w:p w14:paraId="5BF2C89E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automatyczne czyszczenie czujników czystym powietrzem;</w:t>
      </w:r>
    </w:p>
    <w:p w14:paraId="0C072DBE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automatyczna kontrola szczelności;</w:t>
      </w:r>
    </w:p>
    <w:p w14:paraId="0A728B6C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sygnalizacja stanów alarmowych i awaryjnych;</w:t>
      </w:r>
    </w:p>
    <w:p w14:paraId="675B66F4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 xml:space="preserve">prezentacja wyników pomiarów wszystkich składników biogazu na wyświetlaczu LCD; </w:t>
      </w:r>
    </w:p>
    <w:p w14:paraId="38898BBD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 xml:space="preserve">łącze cyfrowe po protokole </w:t>
      </w:r>
      <w:proofErr w:type="spellStart"/>
      <w:r w:rsidRPr="006C3A83">
        <w:rPr>
          <w:bCs/>
          <w:sz w:val="22"/>
          <w:szCs w:val="22"/>
        </w:rPr>
        <w:t>Modbus</w:t>
      </w:r>
      <w:proofErr w:type="spellEnd"/>
      <w:r w:rsidRPr="006C3A83">
        <w:rPr>
          <w:bCs/>
          <w:sz w:val="22"/>
          <w:szCs w:val="22"/>
        </w:rPr>
        <w:t xml:space="preserve"> RTU.</w:t>
      </w:r>
    </w:p>
    <w:p w14:paraId="0FC2971F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</w:p>
    <w:p w14:paraId="372C4259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  <w:r w:rsidRPr="0041141F">
        <w:rPr>
          <w:b/>
          <w:bCs/>
          <w:sz w:val="22"/>
          <w:szCs w:val="22"/>
        </w:rPr>
        <w:t>GAZOMIERZ TURBINOWY</w:t>
      </w:r>
    </w:p>
    <w:p w14:paraId="37FA321D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 xml:space="preserve">wyposażony w korektor, przelicznik, pomiar ciśnienia, temperatury i zawartości metanu - zgodny z dyrektywą MID (akceptowalnym przez URE do rozliczenia energii wyprodukowanej przez </w:t>
      </w:r>
      <w:proofErr w:type="spellStart"/>
      <w:r w:rsidRPr="006C3A83">
        <w:rPr>
          <w:bCs/>
          <w:sz w:val="22"/>
          <w:szCs w:val="22"/>
        </w:rPr>
        <w:t>wyso-kosprawną</w:t>
      </w:r>
      <w:proofErr w:type="spellEnd"/>
      <w:r w:rsidRPr="006C3A83">
        <w:rPr>
          <w:bCs/>
          <w:sz w:val="22"/>
          <w:szCs w:val="22"/>
        </w:rPr>
        <w:t xml:space="preserve"> kogenerację);</w:t>
      </w:r>
    </w:p>
    <w:p w14:paraId="14615DF3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zgodność z wymaganiami dyrektywy 2014/32/UE (MID):</w:t>
      </w:r>
    </w:p>
    <w:p w14:paraId="765DFDD4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certyfikat PL-MI002-1450CM0003;</w:t>
      </w:r>
    </w:p>
    <w:p w14:paraId="0EDFA3F5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oznaczenie CE1450 Instytut Nafty i Gazu;</w:t>
      </w:r>
    </w:p>
    <w:p w14:paraId="34A19DE2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 xml:space="preserve">- zakres ciśnienia roboczego p ≤ 11 </w:t>
      </w:r>
      <w:proofErr w:type="spellStart"/>
      <w:r w:rsidRPr="006C3A83">
        <w:rPr>
          <w:bCs/>
          <w:sz w:val="22"/>
          <w:szCs w:val="22"/>
        </w:rPr>
        <w:t>MPa</w:t>
      </w:r>
      <w:proofErr w:type="spellEnd"/>
      <w:r w:rsidRPr="006C3A83">
        <w:rPr>
          <w:bCs/>
          <w:sz w:val="22"/>
          <w:szCs w:val="22"/>
        </w:rPr>
        <w:t>;</w:t>
      </w:r>
    </w:p>
    <w:p w14:paraId="3732C390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zakres temperatury otoczenia -25°C ≤ t ≤ +70°C;</w:t>
      </w:r>
    </w:p>
    <w:p w14:paraId="31854AB3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 xml:space="preserve">- zakres temperatury gazu -25°C ≤ </w:t>
      </w:r>
      <w:proofErr w:type="spellStart"/>
      <w:r w:rsidRPr="006C3A83">
        <w:rPr>
          <w:bCs/>
          <w:sz w:val="22"/>
          <w:szCs w:val="22"/>
        </w:rPr>
        <w:t>tg</w:t>
      </w:r>
      <w:proofErr w:type="spellEnd"/>
      <w:r w:rsidRPr="006C3A83">
        <w:rPr>
          <w:bCs/>
          <w:sz w:val="22"/>
          <w:szCs w:val="22"/>
        </w:rPr>
        <w:t xml:space="preserve"> ≤ +70°C;</w:t>
      </w:r>
    </w:p>
    <w:p w14:paraId="618F7145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 xml:space="preserve">- zakres temperatury składowania -30°C ≤ </w:t>
      </w:r>
      <w:proofErr w:type="spellStart"/>
      <w:r w:rsidRPr="006C3A83">
        <w:rPr>
          <w:bCs/>
          <w:sz w:val="22"/>
          <w:szCs w:val="22"/>
        </w:rPr>
        <w:t>ts</w:t>
      </w:r>
      <w:proofErr w:type="spellEnd"/>
      <w:r w:rsidRPr="006C3A83">
        <w:rPr>
          <w:bCs/>
          <w:sz w:val="22"/>
          <w:szCs w:val="22"/>
        </w:rPr>
        <w:t xml:space="preserve"> ≤ +70°C;</w:t>
      </w:r>
    </w:p>
    <w:p w14:paraId="56F93F67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klasa dokładności metrologicznej 1,0;</w:t>
      </w:r>
    </w:p>
    <w:p w14:paraId="33023C5E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zgodność z wymaganiami dyrektywy 2014/34/UE (ATEX):</w:t>
      </w:r>
    </w:p>
    <w:p w14:paraId="77D2B5D7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stopień ochrony obudowy liczydła IP66;</w:t>
      </w:r>
    </w:p>
    <w:p w14:paraId="6996F52F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temperatura otoczenia -25°C ≤ t ≤ + 70°C;</w:t>
      </w:r>
    </w:p>
    <w:p w14:paraId="5F49047B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zgodność z wymaganiami dyrektywy 2014/68/UE (PED):</w:t>
      </w:r>
    </w:p>
    <w:p w14:paraId="0F3DDEEB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oznaczenie CE 1433, Urząd Dozoru Technicznego;</w:t>
      </w:r>
    </w:p>
    <w:p w14:paraId="539D96FD" w14:textId="77777777" w:rsidR="0041141F" w:rsidRPr="006C3A83" w:rsidRDefault="0041141F" w:rsidP="006C3A83">
      <w:pPr>
        <w:spacing w:line="276" w:lineRule="auto"/>
        <w:ind w:left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 xml:space="preserve">- maksymalne ciśnienie obliczeniowe dla korpusów gazomierzy: wykonanie PN10 PS = 1,0 </w:t>
      </w:r>
      <w:proofErr w:type="spellStart"/>
      <w:r w:rsidRPr="006C3A83">
        <w:rPr>
          <w:bCs/>
          <w:sz w:val="22"/>
          <w:szCs w:val="22"/>
        </w:rPr>
        <w:t>MPa</w:t>
      </w:r>
      <w:proofErr w:type="spellEnd"/>
      <w:r w:rsidRPr="006C3A83">
        <w:rPr>
          <w:bCs/>
          <w:sz w:val="22"/>
          <w:szCs w:val="22"/>
        </w:rPr>
        <w:t>;</w:t>
      </w:r>
    </w:p>
    <w:p w14:paraId="5FB65BE6" w14:textId="77777777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zgodność z wymaganiami dyrektywy 2014/30/UE (EMC):</w:t>
      </w:r>
    </w:p>
    <w:p w14:paraId="71F06749" w14:textId="49189A68" w:rsidR="0041141F" w:rsidRPr="006C3A83" w:rsidRDefault="0041141F" w:rsidP="006C3A83">
      <w:pPr>
        <w:spacing w:line="276" w:lineRule="auto"/>
        <w:ind w:left="426" w:hanging="142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- wymagania spełnione poprzez zastosowanie nadajników impulsów LF i HF zgodnych z wymaganiami dyrektywy (EMC).</w:t>
      </w:r>
    </w:p>
    <w:p w14:paraId="2EB74877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</w:p>
    <w:p w14:paraId="4863DB44" w14:textId="77777777" w:rsidR="0041141F" w:rsidRPr="0041141F" w:rsidRDefault="0041141F" w:rsidP="0041141F">
      <w:pPr>
        <w:spacing w:line="276" w:lineRule="auto"/>
        <w:rPr>
          <w:b/>
          <w:bCs/>
          <w:sz w:val="22"/>
          <w:szCs w:val="22"/>
        </w:rPr>
      </w:pPr>
      <w:r w:rsidRPr="0041141F">
        <w:rPr>
          <w:b/>
          <w:bCs/>
          <w:sz w:val="22"/>
          <w:szCs w:val="22"/>
        </w:rPr>
        <w:t>CIEPŁOMIERZ ULTRADŹWIĘKOWY</w:t>
      </w:r>
    </w:p>
    <w:p w14:paraId="39DF97F8" w14:textId="20DC039A" w:rsidR="0041141F" w:rsidRPr="006C3A83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lastRenderedPageBreak/>
        <w:t>•</w:t>
      </w:r>
      <w:r w:rsidRPr="006C3A83">
        <w:rPr>
          <w:bCs/>
          <w:sz w:val="22"/>
          <w:szCs w:val="22"/>
        </w:rPr>
        <w:tab/>
        <w:t>wyposażony w wodomierz, przelicznik ciepła, moduł transmisji d</w:t>
      </w:r>
      <w:r w:rsidR="006C3A83">
        <w:rPr>
          <w:bCs/>
          <w:sz w:val="22"/>
          <w:szCs w:val="22"/>
        </w:rPr>
        <w:t>anych, pomiar temperatury na za</w:t>
      </w:r>
      <w:r w:rsidRPr="006C3A83">
        <w:rPr>
          <w:bCs/>
          <w:sz w:val="22"/>
          <w:szCs w:val="22"/>
        </w:rPr>
        <w:t>silaniu i powrocie,</w:t>
      </w:r>
    </w:p>
    <w:p w14:paraId="7978EFE9" w14:textId="51D5DDE2" w:rsidR="00532D57" w:rsidRDefault="0041141F" w:rsidP="006C3A83">
      <w:pPr>
        <w:spacing w:line="276" w:lineRule="auto"/>
        <w:ind w:left="284" w:hanging="284"/>
        <w:rPr>
          <w:bCs/>
          <w:sz w:val="22"/>
          <w:szCs w:val="22"/>
        </w:rPr>
      </w:pPr>
      <w:r w:rsidRPr="006C3A83">
        <w:rPr>
          <w:bCs/>
          <w:sz w:val="22"/>
          <w:szCs w:val="22"/>
        </w:rPr>
        <w:t>•</w:t>
      </w:r>
      <w:r w:rsidRPr="006C3A83">
        <w:rPr>
          <w:bCs/>
          <w:sz w:val="22"/>
          <w:szCs w:val="22"/>
        </w:rPr>
        <w:tab/>
        <w:t>zgodny z dyrektywą MID (akceptowalnym przez URE do rozliczenia energii wyprodukowanej przez wysokosprawną kogenerację).</w:t>
      </w:r>
    </w:p>
    <w:p w14:paraId="325F767D" w14:textId="77777777" w:rsidR="00265568" w:rsidRDefault="00265568" w:rsidP="006C3A83">
      <w:pPr>
        <w:spacing w:line="276" w:lineRule="auto"/>
        <w:ind w:left="284" w:hanging="284"/>
        <w:rPr>
          <w:bCs/>
          <w:sz w:val="22"/>
          <w:szCs w:val="22"/>
        </w:rPr>
      </w:pPr>
    </w:p>
    <w:p w14:paraId="2AF0DF3A" w14:textId="77777777" w:rsidR="00945EFA" w:rsidRDefault="00945EFA" w:rsidP="006E7966">
      <w:pPr>
        <w:spacing w:line="276" w:lineRule="auto"/>
        <w:rPr>
          <w:b/>
          <w:bCs/>
          <w:sz w:val="22"/>
          <w:szCs w:val="22"/>
        </w:rPr>
      </w:pPr>
    </w:p>
    <w:p w14:paraId="35915D81" w14:textId="50CEDC93" w:rsidR="00265568" w:rsidRDefault="00945EFA" w:rsidP="006E7966">
      <w:pPr>
        <w:spacing w:line="276" w:lineRule="auto"/>
        <w:rPr>
          <w:b/>
          <w:bCs/>
          <w:sz w:val="22"/>
          <w:szCs w:val="22"/>
        </w:rPr>
      </w:pPr>
      <w:r w:rsidRPr="006E7966">
        <w:rPr>
          <w:b/>
          <w:bCs/>
          <w:sz w:val="22"/>
          <w:szCs w:val="22"/>
        </w:rPr>
        <w:t>STACJA UZDATNIANIA BIOGAZU</w:t>
      </w:r>
    </w:p>
    <w:p w14:paraId="1E232938" w14:textId="363C8BE8" w:rsidR="006E7966" w:rsidRDefault="006E7966" w:rsidP="006E7966">
      <w:pPr>
        <w:spacing w:line="276" w:lineRule="auto"/>
        <w:rPr>
          <w:sz w:val="22"/>
          <w:szCs w:val="22"/>
        </w:rPr>
      </w:pPr>
      <w:r w:rsidRPr="006E7966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oczyszczanie metodą suchą </w:t>
      </w:r>
      <w:r w:rsidR="002D1C16">
        <w:rPr>
          <w:sz w:val="22"/>
          <w:szCs w:val="22"/>
        </w:rPr>
        <w:t>na</w:t>
      </w:r>
      <w:r>
        <w:rPr>
          <w:sz w:val="22"/>
          <w:szCs w:val="22"/>
        </w:rPr>
        <w:t xml:space="preserve"> stałym złoż</w:t>
      </w:r>
      <w:r w:rsidR="002D1C16">
        <w:rPr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 w:rsidR="002D1C16">
        <w:rPr>
          <w:sz w:val="22"/>
          <w:szCs w:val="22"/>
        </w:rPr>
        <w:t>wspomaganym symultaniczną regeneracją powietrzem,</w:t>
      </w:r>
    </w:p>
    <w:p w14:paraId="3B5ADB43" w14:textId="40E47008" w:rsidR="002D1C16" w:rsidRDefault="002D1C16" w:rsidP="00503C4E">
      <w:pPr>
        <w:spacing w:line="276" w:lineRule="auto"/>
        <w:ind w:left="142" w:hanging="142"/>
        <w:rPr>
          <w:sz w:val="22"/>
          <w:szCs w:val="22"/>
        </w:rPr>
      </w:pPr>
      <w:r>
        <w:rPr>
          <w:sz w:val="22"/>
          <w:szCs w:val="22"/>
        </w:rPr>
        <w:t>- system regeneracji powietrzem wyposażony w: pompkę powietrza, analizator stężenia tlenu, rotametr, detektor przepływu biogazu,</w:t>
      </w:r>
      <w:r w:rsidR="001134FD">
        <w:rPr>
          <w:sz w:val="22"/>
          <w:szCs w:val="22"/>
        </w:rPr>
        <w:t xml:space="preserve"> króćce pomiarowe, mechaniczny zawór bezpieczeństwa,</w:t>
      </w:r>
    </w:p>
    <w:p w14:paraId="06B58592" w14:textId="4E448462" w:rsidR="002D1C16" w:rsidRDefault="002D1C16" w:rsidP="006E79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zakres temperatury biogazu </w:t>
      </w:r>
      <w:r w:rsidR="001134FD">
        <w:rPr>
          <w:sz w:val="22"/>
          <w:szCs w:val="22"/>
        </w:rPr>
        <w:t>8</w:t>
      </w:r>
      <w:r>
        <w:rPr>
          <w:sz w:val="22"/>
          <w:szCs w:val="22"/>
        </w:rPr>
        <w:t>-40°C,</w:t>
      </w:r>
    </w:p>
    <w:p w14:paraId="515F3514" w14:textId="09CCE6E9" w:rsidR="004444E3" w:rsidRDefault="004444E3" w:rsidP="006E79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straty ciśnienia przy przepływie przez reaktor &lt; 5 </w:t>
      </w:r>
      <w:proofErr w:type="spellStart"/>
      <w:r>
        <w:rPr>
          <w:sz w:val="22"/>
          <w:szCs w:val="22"/>
        </w:rPr>
        <w:t>mbar</w:t>
      </w:r>
      <w:proofErr w:type="spellEnd"/>
      <w:r>
        <w:rPr>
          <w:sz w:val="22"/>
          <w:szCs w:val="22"/>
        </w:rPr>
        <w:t>,</w:t>
      </w:r>
    </w:p>
    <w:p w14:paraId="14136A07" w14:textId="4742EB2A" w:rsidR="004444E3" w:rsidRDefault="004444E3" w:rsidP="006E79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ciśnienie testowe 80 </w:t>
      </w:r>
      <w:proofErr w:type="spellStart"/>
      <w:r>
        <w:rPr>
          <w:sz w:val="22"/>
          <w:szCs w:val="22"/>
        </w:rPr>
        <w:t>mbar</w:t>
      </w:r>
      <w:proofErr w:type="spellEnd"/>
    </w:p>
    <w:p w14:paraId="2D778329" w14:textId="160B74BA" w:rsidR="002D1C16" w:rsidRDefault="002D1C16" w:rsidP="006E79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izolacja termiczna reaktora </w:t>
      </w:r>
      <w:r w:rsidR="001134FD">
        <w:rPr>
          <w:sz w:val="22"/>
          <w:szCs w:val="22"/>
        </w:rPr>
        <w:t>z wełny mineralnej</w:t>
      </w:r>
      <w:r w:rsidR="004444E3">
        <w:rPr>
          <w:sz w:val="22"/>
          <w:szCs w:val="22"/>
        </w:rPr>
        <w:t xml:space="preserve"> grubości min. 10 cm</w:t>
      </w:r>
      <w:r>
        <w:rPr>
          <w:sz w:val="22"/>
          <w:szCs w:val="22"/>
        </w:rPr>
        <w:t>,</w:t>
      </w:r>
    </w:p>
    <w:p w14:paraId="33B1ABDC" w14:textId="64A3C7C8" w:rsidR="002D1C16" w:rsidRDefault="002D1C16" w:rsidP="006E79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134FD">
        <w:rPr>
          <w:sz w:val="22"/>
          <w:szCs w:val="22"/>
        </w:rPr>
        <w:t xml:space="preserve">aluminiowy </w:t>
      </w:r>
      <w:r>
        <w:rPr>
          <w:sz w:val="22"/>
          <w:szCs w:val="22"/>
        </w:rPr>
        <w:t>płaszcz osłony izolacji,</w:t>
      </w:r>
    </w:p>
    <w:p w14:paraId="06C58084" w14:textId="043D957C" w:rsidR="001134FD" w:rsidRDefault="002D1C16" w:rsidP="006E79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materiał reaktora ze stali </w:t>
      </w:r>
      <w:r w:rsidR="001134FD">
        <w:rPr>
          <w:sz w:val="22"/>
          <w:szCs w:val="22"/>
        </w:rPr>
        <w:t>kwasoodpornej,</w:t>
      </w:r>
    </w:p>
    <w:p w14:paraId="321245B1" w14:textId="69291707" w:rsidR="002D1C16" w:rsidRPr="006E7966" w:rsidRDefault="001134FD" w:rsidP="006E796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 króćce przyłączeniowe do sieci biogazu kołnierzowe DN150</w:t>
      </w:r>
      <w:r w:rsidR="004444E3">
        <w:rPr>
          <w:sz w:val="22"/>
          <w:szCs w:val="22"/>
        </w:rPr>
        <w:t xml:space="preserve"> PN10</w:t>
      </w:r>
      <w:r>
        <w:rPr>
          <w:sz w:val="22"/>
          <w:szCs w:val="22"/>
        </w:rPr>
        <w:t>.</w:t>
      </w:r>
      <w:r w:rsidR="002D1C16">
        <w:rPr>
          <w:sz w:val="22"/>
          <w:szCs w:val="22"/>
        </w:rPr>
        <w:t xml:space="preserve">  </w:t>
      </w:r>
    </w:p>
    <w:sectPr w:rsidR="002D1C16" w:rsidRPr="006E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0EB"/>
    <w:multiLevelType w:val="hybridMultilevel"/>
    <w:tmpl w:val="5A76FB52"/>
    <w:lvl w:ilvl="0" w:tplc="F5CE7F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75D4B2BA">
      <w:start w:val="1"/>
      <w:numFmt w:val="bullet"/>
      <w:lvlText w:val="—"/>
      <w:lvlJc w:val="left"/>
      <w:pPr>
        <w:tabs>
          <w:tab w:val="num" w:pos="1437"/>
        </w:tabs>
        <w:ind w:left="1437" w:hanging="357"/>
      </w:pPr>
      <w:rPr>
        <w:rFonts w:ascii="Corbel" w:hAnsi="Corbel" w:hint="default"/>
        <w:b w:val="0"/>
        <w:i w:val="0"/>
        <w:sz w:val="24"/>
        <w:szCs w:val="24"/>
      </w:rPr>
    </w:lvl>
    <w:lvl w:ilvl="2" w:tplc="C7E08C08">
      <w:start w:val="1"/>
      <w:numFmt w:val="bullet"/>
      <w:lvlText w:val="─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3" w:tplc="9280D3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 w:tplc="2F36B388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117ADA3C">
      <w:start w:val="2"/>
      <w:numFmt w:val="upperRoman"/>
      <w:lvlText w:val="%6&gt;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E3412"/>
    <w:multiLevelType w:val="hybridMultilevel"/>
    <w:tmpl w:val="9BBCF7A0"/>
    <w:lvl w:ilvl="0" w:tplc="245C44E8">
      <w:start w:val="1"/>
      <w:numFmt w:val="decimal"/>
      <w:lvlText w:val="%1."/>
      <w:lvlJc w:val="left"/>
      <w:pPr>
        <w:ind w:left="780" w:hanging="360"/>
      </w:pPr>
      <w:rPr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EED01C1"/>
    <w:multiLevelType w:val="hybridMultilevel"/>
    <w:tmpl w:val="EDB6258C"/>
    <w:lvl w:ilvl="0" w:tplc="04150001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pacing w:val="0"/>
        <w:kern w:val="0"/>
        <w:position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53763"/>
    <w:multiLevelType w:val="hybridMultilevel"/>
    <w:tmpl w:val="40CC590C"/>
    <w:lvl w:ilvl="0" w:tplc="8F7029CC">
      <w:start w:val="1"/>
      <w:numFmt w:val="upperRoman"/>
      <w:lvlText w:val="%1."/>
      <w:lvlJc w:val="left"/>
      <w:pPr>
        <w:ind w:left="3544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4264" w:hanging="360"/>
      </w:pPr>
    </w:lvl>
    <w:lvl w:ilvl="2" w:tplc="0415001B" w:tentative="1">
      <w:start w:val="1"/>
      <w:numFmt w:val="lowerRoman"/>
      <w:lvlText w:val="%3."/>
      <w:lvlJc w:val="right"/>
      <w:pPr>
        <w:ind w:left="4984" w:hanging="180"/>
      </w:pPr>
    </w:lvl>
    <w:lvl w:ilvl="3" w:tplc="0415000F" w:tentative="1">
      <w:start w:val="1"/>
      <w:numFmt w:val="decimal"/>
      <w:lvlText w:val="%4."/>
      <w:lvlJc w:val="left"/>
      <w:pPr>
        <w:ind w:left="5704" w:hanging="360"/>
      </w:pPr>
    </w:lvl>
    <w:lvl w:ilvl="4" w:tplc="04150019" w:tentative="1">
      <w:start w:val="1"/>
      <w:numFmt w:val="lowerLetter"/>
      <w:lvlText w:val="%5."/>
      <w:lvlJc w:val="left"/>
      <w:pPr>
        <w:ind w:left="6424" w:hanging="360"/>
      </w:pPr>
    </w:lvl>
    <w:lvl w:ilvl="5" w:tplc="0415001B" w:tentative="1">
      <w:start w:val="1"/>
      <w:numFmt w:val="lowerRoman"/>
      <w:lvlText w:val="%6."/>
      <w:lvlJc w:val="right"/>
      <w:pPr>
        <w:ind w:left="7144" w:hanging="180"/>
      </w:pPr>
    </w:lvl>
    <w:lvl w:ilvl="6" w:tplc="0415000F" w:tentative="1">
      <w:start w:val="1"/>
      <w:numFmt w:val="decimal"/>
      <w:lvlText w:val="%7."/>
      <w:lvlJc w:val="left"/>
      <w:pPr>
        <w:ind w:left="7864" w:hanging="360"/>
      </w:pPr>
    </w:lvl>
    <w:lvl w:ilvl="7" w:tplc="04150019" w:tentative="1">
      <w:start w:val="1"/>
      <w:numFmt w:val="lowerLetter"/>
      <w:lvlText w:val="%8."/>
      <w:lvlJc w:val="left"/>
      <w:pPr>
        <w:ind w:left="8584" w:hanging="360"/>
      </w:pPr>
    </w:lvl>
    <w:lvl w:ilvl="8" w:tplc="0415001B" w:tentative="1">
      <w:start w:val="1"/>
      <w:numFmt w:val="lowerRoman"/>
      <w:lvlText w:val="%9."/>
      <w:lvlJc w:val="right"/>
      <w:pPr>
        <w:ind w:left="9304" w:hanging="180"/>
      </w:pPr>
    </w:lvl>
  </w:abstractNum>
  <w:abstractNum w:abstractNumId="4" w15:restartNumberingAfterBreak="0">
    <w:nsid w:val="467251AE"/>
    <w:multiLevelType w:val="hybridMultilevel"/>
    <w:tmpl w:val="A20876A6"/>
    <w:lvl w:ilvl="0" w:tplc="56D6B6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B27630"/>
    <w:multiLevelType w:val="hybridMultilevel"/>
    <w:tmpl w:val="AAC8466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4DB2F18"/>
    <w:multiLevelType w:val="hybridMultilevel"/>
    <w:tmpl w:val="442E1C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128769C"/>
    <w:multiLevelType w:val="hybridMultilevel"/>
    <w:tmpl w:val="F5C41A7E"/>
    <w:lvl w:ilvl="0" w:tplc="2572CC1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ED7667"/>
    <w:multiLevelType w:val="hybridMultilevel"/>
    <w:tmpl w:val="26F00A58"/>
    <w:lvl w:ilvl="0" w:tplc="006A653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7D6C6F35"/>
    <w:multiLevelType w:val="hybridMultilevel"/>
    <w:tmpl w:val="02302934"/>
    <w:lvl w:ilvl="0" w:tplc="42F2A8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D126E"/>
    <w:multiLevelType w:val="hybridMultilevel"/>
    <w:tmpl w:val="79705FD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49712">
    <w:abstractNumId w:val="1"/>
  </w:num>
  <w:num w:numId="2" w16cid:durableId="1183981077">
    <w:abstractNumId w:val="0"/>
  </w:num>
  <w:num w:numId="3" w16cid:durableId="2072845238">
    <w:abstractNumId w:val="9"/>
  </w:num>
  <w:num w:numId="4" w16cid:durableId="918714336">
    <w:abstractNumId w:val="10"/>
  </w:num>
  <w:num w:numId="5" w16cid:durableId="972641582">
    <w:abstractNumId w:val="3"/>
  </w:num>
  <w:num w:numId="6" w16cid:durableId="1857112989">
    <w:abstractNumId w:val="8"/>
  </w:num>
  <w:num w:numId="7" w16cid:durableId="67921156">
    <w:abstractNumId w:val="6"/>
  </w:num>
  <w:num w:numId="8" w16cid:durableId="1904489212">
    <w:abstractNumId w:val="2"/>
  </w:num>
  <w:num w:numId="9" w16cid:durableId="1905993228">
    <w:abstractNumId w:val="5"/>
  </w:num>
  <w:num w:numId="10" w16cid:durableId="655496962">
    <w:abstractNumId w:val="4"/>
  </w:num>
  <w:num w:numId="11" w16cid:durableId="1853382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9B"/>
    <w:rsid w:val="000B2CA8"/>
    <w:rsid w:val="000C502E"/>
    <w:rsid w:val="000D7ECA"/>
    <w:rsid w:val="001134FD"/>
    <w:rsid w:val="00122633"/>
    <w:rsid w:val="00144823"/>
    <w:rsid w:val="00145A3D"/>
    <w:rsid w:val="00194EB6"/>
    <w:rsid w:val="001C1BCA"/>
    <w:rsid w:val="00206180"/>
    <w:rsid w:val="00247C00"/>
    <w:rsid w:val="00265568"/>
    <w:rsid w:val="00292D18"/>
    <w:rsid w:val="002D1C16"/>
    <w:rsid w:val="002E7CBC"/>
    <w:rsid w:val="00350DA4"/>
    <w:rsid w:val="00361EA3"/>
    <w:rsid w:val="003E3FB8"/>
    <w:rsid w:val="0041141F"/>
    <w:rsid w:val="004261A0"/>
    <w:rsid w:val="004444E3"/>
    <w:rsid w:val="004C0B89"/>
    <w:rsid w:val="00501547"/>
    <w:rsid w:val="00503C4E"/>
    <w:rsid w:val="00532D57"/>
    <w:rsid w:val="005967CE"/>
    <w:rsid w:val="005A389B"/>
    <w:rsid w:val="005B0AAF"/>
    <w:rsid w:val="005C570F"/>
    <w:rsid w:val="00665FF6"/>
    <w:rsid w:val="00677AA1"/>
    <w:rsid w:val="006C3A83"/>
    <w:rsid w:val="006E7966"/>
    <w:rsid w:val="006F38E7"/>
    <w:rsid w:val="00747358"/>
    <w:rsid w:val="007F0E54"/>
    <w:rsid w:val="008D5C8B"/>
    <w:rsid w:val="008F3C04"/>
    <w:rsid w:val="00901766"/>
    <w:rsid w:val="00945C55"/>
    <w:rsid w:val="00945EFA"/>
    <w:rsid w:val="009521AC"/>
    <w:rsid w:val="00972C6A"/>
    <w:rsid w:val="00980949"/>
    <w:rsid w:val="009A5436"/>
    <w:rsid w:val="00A305E7"/>
    <w:rsid w:val="00A5698F"/>
    <w:rsid w:val="00A850F1"/>
    <w:rsid w:val="00A91B14"/>
    <w:rsid w:val="00AE3D9F"/>
    <w:rsid w:val="00B002FB"/>
    <w:rsid w:val="00B91AA1"/>
    <w:rsid w:val="00BA7912"/>
    <w:rsid w:val="00BB53B3"/>
    <w:rsid w:val="00BC072C"/>
    <w:rsid w:val="00BE5751"/>
    <w:rsid w:val="00BF0FBE"/>
    <w:rsid w:val="00C6569D"/>
    <w:rsid w:val="00CA5E39"/>
    <w:rsid w:val="00D07CBE"/>
    <w:rsid w:val="00D8740C"/>
    <w:rsid w:val="00DD1E04"/>
    <w:rsid w:val="00DF0443"/>
    <w:rsid w:val="00E52BF7"/>
    <w:rsid w:val="00EC363A"/>
    <w:rsid w:val="00EF4F29"/>
    <w:rsid w:val="00FA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0870"/>
  <w15:docId w15:val="{F56663BF-B435-41B1-85BA-3D7AB466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89B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z listą1,BulletC,Numerowanie,List Paragraph,Akapit z listą BS,Kolorowa lista — akcent 11,ASIA,Eko punkty,punk 1,Nag 1,normalny tekst,Akapit z listą 1,podpunkt,Akapit z listą31,TRAKO Akapit z listą"/>
    <w:basedOn w:val="Normalny"/>
    <w:link w:val="AkapitzlistZnak"/>
    <w:uiPriority w:val="34"/>
    <w:qFormat/>
    <w:rsid w:val="005A389B"/>
    <w:pPr>
      <w:ind w:left="720"/>
      <w:contextualSpacing/>
    </w:pPr>
  </w:style>
  <w:style w:type="character" w:customStyle="1" w:styleId="AkapitzlistZnak">
    <w:name w:val="Akapit z listą Znak"/>
    <w:aliases w:val="Obiekt Znak,List Paragraph1 Znak,Akapit z listą1 Znak,BulletC Znak,Numerowanie Znak,List Paragraph Znak,Akapit z listą BS Znak,Kolorowa lista — akcent 11 Znak,ASIA Znak,Eko punkty Znak,punk 1 Znak,Nag 1 Znak,normalny tekst Znak"/>
    <w:link w:val="Akapitzlist"/>
    <w:uiPriority w:val="34"/>
    <w:qFormat/>
    <w:rsid w:val="005A389B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paragraph" w:customStyle="1" w:styleId="NormalnyEKOVERT">
    <w:name w:val="Normalny EKOVERT"/>
    <w:basedOn w:val="Normalny"/>
    <w:link w:val="NormalnyEKOVERTZnak"/>
    <w:qFormat/>
    <w:locked/>
    <w:rsid w:val="005A389B"/>
    <w:pPr>
      <w:suppressAutoHyphens/>
      <w:spacing w:before="120" w:line="276" w:lineRule="auto"/>
      <w:jc w:val="both"/>
    </w:pPr>
    <w:rPr>
      <w:rFonts w:ascii="Calibri Light" w:eastAsia="Calibri" w:hAnsi="Calibri Light"/>
      <w:sz w:val="22"/>
      <w:szCs w:val="24"/>
      <w:lang w:val="x-none" w:eastAsia="x-none"/>
    </w:rPr>
  </w:style>
  <w:style w:type="character" w:customStyle="1" w:styleId="NormalnyEKOVERTZnak">
    <w:name w:val="Normalny EKOVERT Znak"/>
    <w:link w:val="NormalnyEKOVERT"/>
    <w:rsid w:val="005A389B"/>
    <w:rPr>
      <w:rFonts w:ascii="Calibri Light" w:eastAsia="Calibri" w:hAnsi="Calibri Light" w:cs="Times New Roman"/>
      <w:kern w:val="0"/>
      <w:szCs w:val="24"/>
      <w:lang w:val="x-none" w:eastAsia="x-none"/>
      <w14:ligatures w14:val="none"/>
    </w:rPr>
  </w:style>
  <w:style w:type="paragraph" w:customStyle="1" w:styleId="Default">
    <w:name w:val="Default"/>
    <w:rsid w:val="005A3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5A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A543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5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5E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5E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5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5E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1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180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CA72C-2A30-4558-ABDB-1FF350AA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1756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Brudniak</dc:creator>
  <cp:lastModifiedBy>Andrzej Brudniak</cp:lastModifiedBy>
  <cp:revision>3</cp:revision>
  <cp:lastPrinted>2025-09-23T07:01:00Z</cp:lastPrinted>
  <dcterms:created xsi:type="dcterms:W3CDTF">2025-11-19T08:15:00Z</dcterms:created>
  <dcterms:modified xsi:type="dcterms:W3CDTF">2025-11-20T09:56:00Z</dcterms:modified>
</cp:coreProperties>
</file>